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840" w:type="dxa"/>
            <w:vAlign w:val="bottom"/>
          </w:tcPr>
          <w:p>
            <w:pPr>
              <w:jc w:val="center"/>
              <w:ind w:left="666"/>
              <w:spacing w:after="0"/>
              <w:rPr>
                <w:sz w:val="20"/>
                <w:szCs w:val="20"/>
                <w:color w:val="auto"/>
              </w:rPr>
            </w:pPr>
            <w:r>
              <w:rPr>
                <w:rFonts w:ascii="Arial" w:cs="Arial" w:eastAsia="Arial" w:hAnsi="Arial"/>
                <w:sz w:val="20"/>
                <w:szCs w:val="20"/>
                <w:b w:val="1"/>
                <w:bCs w:val="1"/>
                <w:color w:val="auto"/>
                <w:w w:val="98"/>
              </w:rPr>
              <w:t>UNITED STATES</w:t>
            </w:r>
          </w:p>
        </w:tc>
        <w:tc>
          <w:tcPr>
            <w:tcW w:w="1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960" w:type="dxa"/>
            <w:vAlign w:val="bottom"/>
            <w:gridSpan w:val="2"/>
          </w:tcPr>
          <w:p>
            <w:pPr>
              <w:jc w:val="center"/>
              <w:ind w:right="259"/>
              <w:spacing w:after="0"/>
              <w:rPr>
                <w:sz w:val="20"/>
                <w:szCs w:val="20"/>
                <w:color w:val="auto"/>
              </w:rPr>
            </w:pPr>
            <w:r>
              <w:rPr>
                <w:rFonts w:ascii="Arial" w:cs="Arial" w:eastAsia="Arial" w:hAnsi="Arial"/>
                <w:sz w:val="20"/>
                <w:szCs w:val="20"/>
                <w:b w:val="1"/>
                <w:bCs w:val="1"/>
                <w:color w:val="auto"/>
              </w:rPr>
              <w:t>SECURITIES AND EXCHANGE COMMISSION</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840" w:type="dxa"/>
            <w:vAlign w:val="bottom"/>
          </w:tcPr>
          <w:p>
            <w:pPr>
              <w:jc w:val="center"/>
              <w:ind w:left="666"/>
              <w:spacing w:after="0"/>
              <w:rPr>
                <w:sz w:val="20"/>
                <w:szCs w:val="20"/>
                <w:color w:val="auto"/>
              </w:rPr>
            </w:pPr>
            <w:r>
              <w:rPr>
                <w:rFonts w:ascii="Arial" w:cs="Arial" w:eastAsia="Arial" w:hAnsi="Arial"/>
                <w:sz w:val="20"/>
                <w:szCs w:val="20"/>
                <w:b w:val="1"/>
                <w:bCs w:val="1"/>
                <w:color w:val="auto"/>
                <w:w w:val="89"/>
              </w:rPr>
              <w:t>Washington, D.C. 20549</w:t>
            </w:r>
          </w:p>
        </w:tc>
        <w:tc>
          <w:tcPr>
            <w:tcW w:w="11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840" w:type="dxa"/>
            <w:vAlign w:val="bottom"/>
          </w:tcPr>
          <w:p>
            <w:pPr>
              <w:jc w:val="center"/>
              <w:ind w:left="666"/>
              <w:spacing w:after="0"/>
              <w:rPr>
                <w:sz w:val="20"/>
                <w:szCs w:val="20"/>
                <w:color w:val="auto"/>
              </w:rPr>
            </w:pPr>
            <w:r>
              <w:rPr>
                <w:rFonts w:ascii="Arial" w:cs="Arial" w:eastAsia="Arial" w:hAnsi="Arial"/>
                <w:sz w:val="25"/>
                <w:szCs w:val="25"/>
                <w:b w:val="1"/>
                <w:bCs w:val="1"/>
                <w:color w:val="auto"/>
                <w:w w:val="97"/>
              </w:rPr>
              <w:t>Form 10-K</w:t>
            </w:r>
          </w:p>
        </w:tc>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8220" w:type="dxa"/>
            <w:vAlign w:val="bottom"/>
            <w:gridSpan w:val="3"/>
          </w:tcPr>
          <w:p>
            <w:pPr>
              <w:jc w:val="center"/>
              <w:ind w:left="2815"/>
              <w:spacing w:after="0"/>
              <w:rPr>
                <w:sz w:val="20"/>
                <w:szCs w:val="20"/>
                <w:color w:val="auto"/>
              </w:rPr>
            </w:pPr>
            <w:r>
              <w:rPr>
                <w:rFonts w:ascii="Arial" w:cs="Arial" w:eastAsia="Arial" w:hAnsi="Arial"/>
                <w:sz w:val="20"/>
                <w:szCs w:val="20"/>
                <w:b w:val="1"/>
                <w:bCs w:val="1"/>
                <w:color w:val="auto"/>
                <w:w w:val="97"/>
              </w:rPr>
              <w:t>ANNUAL REPORT PURSUANT TO SECTION 13 OR 15(d)</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960" w:type="dxa"/>
            <w:vAlign w:val="bottom"/>
            <w:gridSpan w:val="2"/>
          </w:tcPr>
          <w:p>
            <w:pPr>
              <w:jc w:val="center"/>
              <w:ind w:right="259"/>
              <w:spacing w:after="0"/>
              <w:rPr>
                <w:sz w:val="20"/>
                <w:szCs w:val="20"/>
                <w:color w:val="auto"/>
              </w:rPr>
            </w:pPr>
            <w:r>
              <w:rPr>
                <w:rFonts w:ascii="Arial" w:cs="Arial" w:eastAsia="Arial" w:hAnsi="Arial"/>
                <w:sz w:val="20"/>
                <w:szCs w:val="20"/>
                <w:b w:val="1"/>
                <w:bCs w:val="1"/>
                <w:color w:val="auto"/>
                <w:w w:val="98"/>
              </w:rPr>
              <w:t>OF THE SECURITIES EXCHANGE ACT OF 1934</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60" w:type="dxa"/>
            <w:vAlign w:val="bottom"/>
            <w:gridSpan w:val="2"/>
          </w:tcPr>
          <w:p>
            <w:pPr>
              <w:jc w:val="center"/>
              <w:ind w:right="259"/>
              <w:spacing w:after="0"/>
              <w:rPr>
                <w:sz w:val="20"/>
                <w:szCs w:val="20"/>
                <w:color w:val="auto"/>
              </w:rPr>
            </w:pPr>
            <w:r>
              <w:rPr>
                <w:rFonts w:ascii="Arial" w:cs="Arial" w:eastAsia="Arial" w:hAnsi="Arial"/>
                <w:sz w:val="18"/>
                <w:szCs w:val="18"/>
                <w:b w:val="1"/>
                <w:bCs w:val="1"/>
                <w:color w:val="auto"/>
                <w:w w:val="90"/>
              </w:rPr>
              <w:t>For the Fiscal Year Ended December 31, 2021</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40" w:type="dxa"/>
            <w:vAlign w:val="bottom"/>
          </w:tcPr>
          <w:p>
            <w:pPr>
              <w:jc w:val="center"/>
              <w:ind w:left="666"/>
              <w:spacing w:after="0"/>
              <w:rPr>
                <w:sz w:val="20"/>
                <w:szCs w:val="20"/>
                <w:color w:val="auto"/>
              </w:rPr>
            </w:pPr>
            <w:r>
              <w:rPr>
                <w:rFonts w:ascii="Arial" w:cs="Arial" w:eastAsia="Arial" w:hAnsi="Arial"/>
                <w:sz w:val="18"/>
                <w:szCs w:val="18"/>
                <w:b w:val="1"/>
                <w:bCs w:val="1"/>
                <w:color w:val="auto"/>
                <w:w w:val="90"/>
              </w:rPr>
              <w:t>Commission File Number 000-29472</w:t>
            </w:r>
          </w:p>
        </w:tc>
        <w:tc>
          <w:tcPr>
            <w:tcW w:w="1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60" w:type="dxa"/>
            <w:vAlign w:val="bottom"/>
            <w:gridSpan w:val="2"/>
          </w:tcPr>
          <w:p>
            <w:pPr>
              <w:jc w:val="center"/>
              <w:ind w:right="279"/>
              <w:spacing w:after="0"/>
              <w:rPr>
                <w:sz w:val="20"/>
                <w:szCs w:val="20"/>
                <w:color w:val="auto"/>
              </w:rPr>
            </w:pPr>
            <w:r>
              <w:rPr>
                <w:rFonts w:ascii="Arial" w:cs="Arial" w:eastAsia="Arial" w:hAnsi="Arial"/>
                <w:sz w:val="36"/>
                <w:szCs w:val="36"/>
                <w:b w:val="1"/>
                <w:bCs w:val="1"/>
                <w:color w:val="auto"/>
                <w:w w:val="90"/>
              </w:rPr>
              <w:t>Amkor Technology, Inc.</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40" w:type="dxa"/>
            <w:vAlign w:val="bottom"/>
          </w:tcPr>
          <w:p>
            <w:pPr>
              <w:jc w:val="center"/>
              <w:ind w:left="666"/>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1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60" w:type="dxa"/>
            <w:vAlign w:val="bottom"/>
          </w:tcPr>
          <w:p>
            <w:pPr>
              <w:spacing w:after="0"/>
              <w:rPr>
                <w:sz w:val="24"/>
                <w:szCs w:val="24"/>
                <w:color w:val="auto"/>
              </w:rPr>
            </w:pPr>
          </w:p>
        </w:tc>
        <w:tc>
          <w:tcPr>
            <w:tcW w:w="3260" w:type="dxa"/>
            <w:vAlign w:val="bottom"/>
          </w:tcPr>
          <w:p>
            <w:pPr>
              <w:ind w:left="1400"/>
              <w:spacing w:after="0"/>
              <w:rPr>
                <w:sz w:val="20"/>
                <w:szCs w:val="20"/>
                <w:color w:val="auto"/>
              </w:rPr>
            </w:pPr>
            <w:r>
              <w:rPr>
                <w:rFonts w:ascii="Arial" w:cs="Arial" w:eastAsia="Arial" w:hAnsi="Arial"/>
                <w:sz w:val="16"/>
                <w:szCs w:val="16"/>
                <w:b w:val="1"/>
                <w:bCs w:val="1"/>
                <w:color w:val="auto"/>
              </w:rPr>
              <w:t>Delaware</w:t>
            </w:r>
          </w:p>
        </w:tc>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20" w:type="dxa"/>
            <w:vAlign w:val="bottom"/>
          </w:tcPr>
          <w:p>
            <w:pPr>
              <w:jc w:val="center"/>
              <w:ind w:right="499"/>
              <w:spacing w:after="0"/>
              <w:rPr>
                <w:sz w:val="20"/>
                <w:szCs w:val="20"/>
                <w:color w:val="auto"/>
              </w:rPr>
            </w:pPr>
            <w:r>
              <w:rPr>
                <w:rFonts w:ascii="Arial" w:cs="Arial" w:eastAsia="Arial" w:hAnsi="Arial"/>
                <w:sz w:val="16"/>
                <w:szCs w:val="16"/>
                <w:b w:val="1"/>
                <w:bCs w:val="1"/>
                <w:color w:val="auto"/>
                <w:w w:val="91"/>
              </w:rPr>
              <w:t>23-1722724</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3260" w:type="dxa"/>
            <w:vAlign w:val="bottom"/>
            <w:vMerge w:val="restart"/>
          </w:tcPr>
          <w:p>
            <w:pPr>
              <w:ind w:left="960"/>
              <w:spacing w:after="0"/>
              <w:rPr>
                <w:sz w:val="20"/>
                <w:szCs w:val="20"/>
                <w:color w:val="auto"/>
              </w:rPr>
            </w:pPr>
            <w:r>
              <w:rPr>
                <w:rFonts w:ascii="Arial" w:cs="Arial" w:eastAsia="Arial" w:hAnsi="Arial"/>
                <w:sz w:val="16"/>
                <w:szCs w:val="16"/>
                <w:i w:val="1"/>
                <w:iCs w:val="1"/>
                <w:color w:val="auto"/>
              </w:rPr>
              <w:t>(State of incorporation)</w:t>
            </w:r>
          </w:p>
        </w:tc>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20" w:type="dxa"/>
            <w:vAlign w:val="bottom"/>
          </w:tcPr>
          <w:p>
            <w:pPr>
              <w:jc w:val="center"/>
              <w:ind w:right="479"/>
              <w:spacing w:after="0" w:line="171" w:lineRule="exact"/>
              <w:rPr>
                <w:sz w:val="20"/>
                <w:szCs w:val="20"/>
                <w:color w:val="auto"/>
              </w:rPr>
            </w:pPr>
            <w:r>
              <w:rPr>
                <w:rFonts w:ascii="Arial" w:cs="Arial" w:eastAsia="Arial" w:hAnsi="Arial"/>
                <w:sz w:val="16"/>
                <w:szCs w:val="16"/>
                <w:i w:val="1"/>
                <w:iCs w:val="1"/>
                <w:color w:val="auto"/>
                <w:w w:val="91"/>
              </w:rPr>
              <w:t>(I.R.S. Employer</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3260" w:type="dxa"/>
            <w:vAlign w:val="bottom"/>
            <w:vMerge w:val="continue"/>
          </w:tcPr>
          <w:p>
            <w:pPr>
              <w:spacing w:after="0"/>
              <w:rPr>
                <w:sz w:val="10"/>
                <w:szCs w:val="10"/>
                <w:color w:val="auto"/>
              </w:rPr>
            </w:pPr>
          </w:p>
        </w:tc>
        <w:tc>
          <w:tcPr>
            <w:tcW w:w="3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920" w:type="dxa"/>
            <w:vAlign w:val="bottom"/>
            <w:vMerge w:val="restart"/>
          </w:tcPr>
          <w:p>
            <w:pPr>
              <w:jc w:val="center"/>
              <w:ind w:right="499"/>
              <w:spacing w:after="0"/>
              <w:rPr>
                <w:sz w:val="20"/>
                <w:szCs w:val="20"/>
                <w:color w:val="auto"/>
              </w:rPr>
            </w:pPr>
            <w:r>
              <w:rPr>
                <w:rFonts w:ascii="Arial" w:cs="Arial" w:eastAsia="Arial" w:hAnsi="Arial"/>
                <w:sz w:val="16"/>
                <w:szCs w:val="16"/>
                <w:i w:val="1"/>
                <w:iCs w:val="1"/>
                <w:color w:val="auto"/>
                <w:w w:val="95"/>
              </w:rPr>
              <w:t>Identification Number)</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840" w:type="dxa"/>
            <w:vAlign w:val="bottom"/>
          </w:tcPr>
          <w:p>
            <w:pPr>
              <w:jc w:val="center"/>
              <w:ind w:left="666"/>
              <w:spacing w:after="0"/>
              <w:rPr>
                <w:sz w:val="20"/>
                <w:szCs w:val="20"/>
                <w:color w:val="auto"/>
              </w:rPr>
            </w:pPr>
            <w:r>
              <w:rPr>
                <w:rFonts w:ascii="Arial" w:cs="Arial" w:eastAsia="Arial" w:hAnsi="Arial"/>
                <w:sz w:val="16"/>
                <w:szCs w:val="16"/>
                <w:b w:val="1"/>
                <w:bCs w:val="1"/>
                <w:color w:val="auto"/>
                <w:w w:val="92"/>
              </w:rPr>
              <w:t>2045 East Innovation Circle</w:t>
            </w:r>
          </w:p>
        </w:tc>
        <w:tc>
          <w:tcPr>
            <w:tcW w:w="11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40" w:type="dxa"/>
            <w:vAlign w:val="bottom"/>
          </w:tcPr>
          <w:p>
            <w:pPr>
              <w:jc w:val="center"/>
              <w:ind w:left="686"/>
              <w:spacing w:after="0"/>
              <w:rPr>
                <w:sz w:val="20"/>
                <w:szCs w:val="20"/>
                <w:color w:val="auto"/>
              </w:rPr>
            </w:pPr>
            <w:r>
              <w:rPr>
                <w:rFonts w:ascii="Arial" w:cs="Arial" w:eastAsia="Arial" w:hAnsi="Arial"/>
                <w:sz w:val="16"/>
                <w:szCs w:val="16"/>
                <w:b w:val="1"/>
                <w:bCs w:val="1"/>
                <w:color w:val="auto"/>
                <w:w w:val="93"/>
              </w:rPr>
              <w:t>Tempe, AZ 85284</w:t>
            </w:r>
          </w:p>
        </w:tc>
        <w:tc>
          <w:tcPr>
            <w:tcW w:w="1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840" w:type="dxa"/>
            <w:vAlign w:val="bottom"/>
          </w:tcPr>
          <w:p>
            <w:pPr>
              <w:jc w:val="center"/>
              <w:ind w:left="686"/>
              <w:spacing w:after="0"/>
              <w:rPr>
                <w:sz w:val="20"/>
                <w:szCs w:val="20"/>
                <w:color w:val="auto"/>
              </w:rPr>
            </w:pPr>
            <w:r>
              <w:rPr>
                <w:rFonts w:ascii="Arial" w:cs="Arial" w:eastAsia="Arial" w:hAnsi="Arial"/>
                <w:sz w:val="16"/>
                <w:szCs w:val="16"/>
                <w:b w:val="1"/>
                <w:bCs w:val="1"/>
                <w:color w:val="auto"/>
                <w:w w:val="93"/>
              </w:rPr>
              <w:t>(480) 821-5000</w:t>
            </w:r>
          </w:p>
        </w:tc>
        <w:tc>
          <w:tcPr>
            <w:tcW w:w="1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840" w:type="dxa"/>
            <w:vAlign w:val="bottom"/>
          </w:tcPr>
          <w:p>
            <w:pPr>
              <w:jc w:val="center"/>
              <w:ind w:left="666"/>
              <w:spacing w:after="0"/>
              <w:rPr>
                <w:sz w:val="20"/>
                <w:szCs w:val="20"/>
                <w:color w:val="auto"/>
              </w:rPr>
            </w:pPr>
            <w:r>
              <w:rPr>
                <w:rFonts w:ascii="Arial" w:cs="Arial" w:eastAsia="Arial" w:hAnsi="Arial"/>
                <w:sz w:val="14"/>
                <w:szCs w:val="14"/>
                <w:i w:val="1"/>
                <w:iCs w:val="1"/>
                <w:color w:val="auto"/>
                <w:w w:val="92"/>
              </w:rPr>
              <w:t>(Address of principal executive offices and zip code)</w:t>
            </w:r>
          </w:p>
        </w:tc>
        <w:tc>
          <w:tcPr>
            <w:tcW w:w="1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60" w:type="dxa"/>
            <w:vAlign w:val="bottom"/>
            <w:gridSpan w:val="2"/>
          </w:tcPr>
          <w:p>
            <w:pPr>
              <w:jc w:val="center"/>
              <w:ind w:right="27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0" w:type="dxa"/>
            <w:vAlign w:val="bottom"/>
          </w:tcPr>
          <w:p>
            <w:pPr>
              <w:spacing w:after="0"/>
              <w:rPr>
                <w:sz w:val="24"/>
                <w:szCs w:val="24"/>
                <w:color w:val="auto"/>
              </w:rPr>
            </w:pPr>
          </w:p>
        </w:tc>
        <w:tc>
          <w:tcPr>
            <w:tcW w:w="326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Title of Each Class</w:t>
            </w:r>
          </w:p>
        </w:tc>
        <w:tc>
          <w:tcPr>
            <w:tcW w:w="3840" w:type="dxa"/>
            <w:vAlign w:val="bottom"/>
            <w:tcBorders>
              <w:bottom w:val="single" w:sz="8" w:color="auto"/>
            </w:tcBorders>
          </w:tcPr>
          <w:p>
            <w:pPr>
              <w:jc w:val="center"/>
              <w:ind w:left="26"/>
              <w:spacing w:after="0"/>
              <w:rPr>
                <w:sz w:val="20"/>
                <w:szCs w:val="20"/>
                <w:color w:val="auto"/>
              </w:rPr>
            </w:pPr>
            <w:r>
              <w:rPr>
                <w:rFonts w:ascii="Arial" w:cs="Arial" w:eastAsia="Arial" w:hAnsi="Arial"/>
                <w:sz w:val="16"/>
                <w:szCs w:val="16"/>
                <w:b w:val="1"/>
                <w:bCs w:val="1"/>
                <w:color w:val="auto"/>
                <w:w w:val="92"/>
              </w:rPr>
              <w:t>Trading Symbol</w:t>
            </w:r>
          </w:p>
        </w:tc>
        <w:tc>
          <w:tcPr>
            <w:tcW w:w="4040" w:type="dxa"/>
            <w:vAlign w:val="bottom"/>
            <w:tcBorders>
              <w:bottom w:val="single" w:sz="8" w:color="auto"/>
            </w:tcBorders>
            <w:gridSpan w:val="2"/>
          </w:tcPr>
          <w:p>
            <w:pPr>
              <w:jc w:val="center"/>
              <w:ind w:right="699"/>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260" w:type="dxa"/>
            <w:vAlign w:val="bottom"/>
          </w:tcPr>
          <w:p>
            <w:pPr>
              <w:ind w:left="980"/>
              <w:spacing w:after="0"/>
              <w:rPr>
                <w:sz w:val="20"/>
                <w:szCs w:val="20"/>
                <w:color w:val="auto"/>
              </w:rPr>
            </w:pPr>
            <w:r>
              <w:rPr>
                <w:rFonts w:ascii="Arial" w:cs="Arial" w:eastAsia="Arial" w:hAnsi="Arial"/>
                <w:sz w:val="16"/>
                <w:szCs w:val="16"/>
                <w:color w:val="auto"/>
                <w:w w:val="95"/>
              </w:rPr>
              <w:t>Common Stock, $0.001 par value</w:t>
            </w:r>
          </w:p>
        </w:tc>
        <w:tc>
          <w:tcPr>
            <w:tcW w:w="3840" w:type="dxa"/>
            <w:vAlign w:val="bottom"/>
          </w:tcPr>
          <w:p>
            <w:pPr>
              <w:jc w:val="center"/>
              <w:ind w:left="26"/>
              <w:spacing w:after="0"/>
              <w:rPr>
                <w:sz w:val="20"/>
                <w:szCs w:val="20"/>
                <w:color w:val="auto"/>
              </w:rPr>
            </w:pPr>
            <w:r>
              <w:rPr>
                <w:rFonts w:ascii="Arial" w:cs="Arial" w:eastAsia="Arial" w:hAnsi="Arial"/>
                <w:sz w:val="16"/>
                <w:szCs w:val="16"/>
                <w:color w:val="auto"/>
              </w:rPr>
              <w:t>AMKR</w:t>
            </w:r>
          </w:p>
        </w:tc>
        <w:tc>
          <w:tcPr>
            <w:tcW w:w="4040" w:type="dxa"/>
            <w:vAlign w:val="bottom"/>
            <w:gridSpan w:val="2"/>
          </w:tcPr>
          <w:p>
            <w:pPr>
              <w:jc w:val="center"/>
              <w:ind w:right="699"/>
              <w:spacing w:after="0"/>
              <w:rPr>
                <w:sz w:val="20"/>
                <w:szCs w:val="20"/>
                <w:color w:val="auto"/>
              </w:rPr>
            </w:pPr>
            <w:r>
              <w:rPr>
                <w:rFonts w:ascii="Arial" w:cs="Arial" w:eastAsia="Arial" w:hAnsi="Arial"/>
                <w:sz w:val="16"/>
                <w:szCs w:val="16"/>
                <w:color w:val="auto"/>
                <w:w w:val="94"/>
              </w:rPr>
              <w:t>The NASDAQ Global Select Market</w:t>
            </w:r>
          </w:p>
        </w:tc>
        <w:tc>
          <w:tcPr>
            <w:tcW w:w="0" w:type="dxa"/>
            <w:vAlign w:val="bottom"/>
          </w:tcPr>
          <w:p>
            <w:pPr>
              <w:spacing w:after="0"/>
              <w:rPr>
                <w:sz w:val="1"/>
                <w:szCs w:val="1"/>
                <w:color w:val="auto"/>
              </w:rPr>
            </w:pPr>
          </w:p>
        </w:tc>
      </w:tr>
      <w:tr>
        <w:trPr>
          <w:trHeight w:val="406"/>
        </w:trPr>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60" w:type="dxa"/>
            <w:vAlign w:val="bottom"/>
            <w:gridSpan w:val="2"/>
          </w:tcPr>
          <w:p>
            <w:pPr>
              <w:jc w:val="center"/>
              <w:ind w:right="27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40" w:type="dxa"/>
            <w:vAlign w:val="bottom"/>
          </w:tcPr>
          <w:p>
            <w:pPr>
              <w:jc w:val="center"/>
              <w:ind w:left="666"/>
              <w:spacing w:after="0"/>
              <w:rPr>
                <w:sz w:val="20"/>
                <w:szCs w:val="20"/>
                <w:color w:val="auto"/>
              </w:rPr>
            </w:pPr>
            <w:r>
              <w:rPr>
                <w:rFonts w:ascii="Arial" w:cs="Arial" w:eastAsia="Arial" w:hAnsi="Arial"/>
                <w:sz w:val="18"/>
                <w:szCs w:val="18"/>
                <w:b w:val="1"/>
                <w:bCs w:val="1"/>
                <w:color w:val="auto"/>
                <w:w w:val="88"/>
              </w:rPr>
              <w:t>None</w:t>
            </w:r>
          </w:p>
        </w:tc>
        <w:tc>
          <w:tcPr>
            <w:tcW w:w="1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280" w:type="dxa"/>
            <w:vAlign w:val="bottom"/>
            <w:gridSpan w:val="4"/>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2920" w:type="dxa"/>
            <w:vAlign w:val="bottom"/>
          </w:tcPr>
          <w:p>
            <w:pPr>
              <w:ind w:left="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4"/>
        </w:trPr>
        <w:tc>
          <w:tcPr>
            <w:tcW w:w="8280" w:type="dxa"/>
            <w:vAlign w:val="bottom"/>
            <w:gridSpan w:val="4"/>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2"/>
              </w:rPr>
              <w:t>☐</w:t>
            </w:r>
          </w:p>
        </w:tc>
        <w:tc>
          <w:tcPr>
            <w:tcW w:w="2920" w:type="dxa"/>
            <w:vAlign w:val="bottom"/>
          </w:tcPr>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as amended,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200"/>
        <w:spacing w:after="0" w:line="321" w:lineRule="exact"/>
        <w:tabs>
          <w:tab w:leader="none" w:pos="1800" w:val="left"/>
          <w:tab w:leader="none" w:pos="2400" w:val="left"/>
          <w:tab w:leader="none" w:pos="3780" w:val="left"/>
          <w:tab w:leader="none" w:pos="4240" w:val="left"/>
          <w:tab w:leader="none" w:pos="5800" w:val="left"/>
          <w:tab w:leader="none" w:pos="6320" w:val="left"/>
          <w:tab w:leader="none" w:pos="8320" w:val="left"/>
          <w:tab w:leader="none" w:pos="8840" w:val="left"/>
          <w:tab w:leader="none" w:pos="108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32"/>
          <w:szCs w:val="32"/>
          <w:color w:val="auto"/>
          <w:vertAlign w:val="superscript"/>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09"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4"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4" w:lineRule="exact"/>
        <w:tabs>
          <w:tab w:leader="none" w:pos="80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5"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2021, based upon the closing price of the common stock as reported by the NASDAQ Global Select Market on that date, was approximately $2,405 million.</w:t>
      </w:r>
    </w:p>
    <w:p>
      <w:pPr>
        <w:spacing w:after="0" w:line="10"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The number of shares outstanding of each of the issuer’s classes of common equity, as of February 11, 2022, was as follows: 244,613,506 shares of Common Stock, $0.001 par value.</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140"/>
        <w:spacing w:after="0" w:line="275" w:lineRule="auto"/>
        <w:rPr>
          <w:sz w:val="20"/>
          <w:szCs w:val="20"/>
          <w:color w:val="auto"/>
        </w:rPr>
      </w:pPr>
      <w:r>
        <w:rPr>
          <w:rFonts w:ascii="Arial" w:cs="Arial" w:eastAsia="Arial" w:hAnsi="Arial"/>
          <w:sz w:val="16"/>
          <w:szCs w:val="16"/>
          <w:color w:val="auto"/>
        </w:rPr>
        <w:t>Portions of the registrant’s Proxy Statement relating to its 2022 Annual Meeting of Stockholders, to be filed subsequently, are incorporated by reference into Part III of this Report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300" w:type="dxa"/>
            <w:vAlign w:val="bottom"/>
            <w:gridSpan w:val="7"/>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5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vMerge w:val="restart"/>
          </w:tcPr>
          <w:p>
            <w:pPr>
              <w:jc w:val="center"/>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4620" w:type="dxa"/>
            <w:vAlign w:val="bottom"/>
            <w:vMerge w:val="restart"/>
          </w:tcPr>
          <w:p>
            <w:pPr>
              <w:spacing w:after="0"/>
              <w:rPr>
                <w:sz w:val="24"/>
                <w:szCs w:val="24"/>
                <w:color w:val="auto"/>
              </w:rPr>
            </w:pPr>
          </w:p>
        </w:tc>
        <w:tc>
          <w:tcPr>
            <w:tcW w:w="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Borders>
              <w:bottom w:val="single" w:sz="8" w:color="0000FF"/>
            </w:tcBorders>
            <w:vMerge w:val="continue"/>
          </w:tcPr>
          <w:p>
            <w:pPr>
              <w:spacing w:after="0"/>
              <w:rPr>
                <w:sz w:val="14"/>
                <w:szCs w:val="14"/>
                <w:color w:val="auto"/>
              </w:rPr>
            </w:pPr>
          </w:p>
        </w:tc>
        <w:tc>
          <w:tcPr>
            <w:tcW w:w="46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380" w:type="dxa"/>
            <w:vAlign w:val="bottom"/>
            <w:gridSpan w:val="3"/>
          </w:tcPr>
          <w:p>
            <w:pPr>
              <w:spacing w:after="0"/>
              <w:rPr>
                <w:sz w:val="18"/>
                <w:szCs w:val="18"/>
                <w:color w:val="auto"/>
              </w:rPr>
            </w:pPr>
          </w:p>
        </w:tc>
        <w:tc>
          <w:tcPr>
            <w:tcW w:w="3020" w:type="dxa"/>
            <w:vAlign w:val="bottom"/>
            <w:gridSpan w:val="8"/>
          </w:tcPr>
          <w:p>
            <w:pPr>
              <w:ind w:left="260"/>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7300" w:type="dxa"/>
            <w:vAlign w:val="bottom"/>
            <w:gridSpan w:val="7"/>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3"/>
          </w:tcPr>
          <w:p>
            <w:pPr>
              <w:spacing w:after="0"/>
              <w:rPr>
                <w:rFonts w:ascii="Arial" w:cs="Arial" w:eastAsia="Arial" w:hAnsi="Arial"/>
                <w:sz w:val="18"/>
                <w:szCs w:val="18"/>
                <w:color w:val="0000FF"/>
                <w:w w:val="95"/>
              </w:rPr>
            </w:pPr>
            <w:hyperlink w:anchor="page16">
              <w:r>
                <w:rPr>
                  <w:rFonts w:ascii="Arial" w:cs="Arial" w:eastAsia="Arial" w:hAnsi="Arial"/>
                  <w:sz w:val="18"/>
                  <w:szCs w:val="18"/>
                  <w:color w:val="0000FF"/>
                  <w:w w:val="95"/>
                </w:rPr>
                <w:t>Item 1A.</w:t>
              </w:r>
            </w:hyperlink>
          </w:p>
        </w:tc>
        <w:tc>
          <w:tcPr>
            <w:tcW w:w="240" w:type="dxa"/>
            <w:vAlign w:val="bottom"/>
          </w:tcPr>
          <w:p>
            <w:pPr>
              <w:spacing w:after="0"/>
              <w:rPr>
                <w:sz w:val="18"/>
                <w:szCs w:val="18"/>
                <w:color w:val="auto"/>
              </w:rPr>
            </w:pPr>
          </w:p>
        </w:tc>
        <w:tc>
          <w:tcPr>
            <w:tcW w:w="3020" w:type="dxa"/>
            <w:vAlign w:val="bottom"/>
            <w:gridSpan w:val="8"/>
          </w:tcPr>
          <w:p>
            <w:pPr>
              <w:ind w:left="260"/>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7280" w:type="dxa"/>
            <w:vAlign w:val="bottom"/>
            <w:gridSpan w:val="6"/>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Item 1B.</w:t>
              </w:r>
            </w:hyperlink>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8"/>
          </w:tcPr>
          <w:p>
            <w:pPr>
              <w:ind w:left="260"/>
              <w:spacing w:after="0"/>
              <w:rPr>
                <w:rFonts w:ascii="Arial" w:cs="Arial" w:eastAsia="Arial" w:hAnsi="Arial"/>
                <w:sz w:val="18"/>
                <w:szCs w:val="18"/>
                <w:color w:val="0000FF"/>
              </w:rPr>
            </w:pPr>
            <w:hyperlink w:anchor="page32">
              <w:r>
                <w:rPr>
                  <w:rFonts w:ascii="Arial" w:cs="Arial" w:eastAsia="Arial" w:hAnsi="Arial"/>
                  <w:sz w:val="18"/>
                  <w:szCs w:val="18"/>
                  <w:color w:val="0000FF"/>
                </w:rPr>
                <w:t>Unresolved Staff Comments</w:t>
              </w:r>
            </w:hyperlink>
          </w:p>
        </w:tc>
        <w:tc>
          <w:tcPr>
            <w:tcW w:w="7280" w:type="dxa"/>
            <w:vAlign w:val="bottom"/>
            <w:gridSpan w:val="6"/>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260" w:type="dxa"/>
            <w:vAlign w:val="bottom"/>
            <w:gridSpan w:val="2"/>
          </w:tcPr>
          <w:p>
            <w:pPr>
              <w:spacing w:after="0"/>
              <w:rPr>
                <w:sz w:val="18"/>
                <w:szCs w:val="18"/>
                <w:color w:val="auto"/>
              </w:rPr>
            </w:pPr>
          </w:p>
        </w:tc>
        <w:tc>
          <w:tcPr>
            <w:tcW w:w="3020" w:type="dxa"/>
            <w:vAlign w:val="bottom"/>
            <w:gridSpan w:val="8"/>
          </w:tcPr>
          <w:p>
            <w:pPr>
              <w:ind w:left="260"/>
              <w:spacing w:after="0"/>
              <w:rPr>
                <w:rFonts w:ascii="Arial" w:cs="Arial" w:eastAsia="Arial" w:hAnsi="Arial"/>
                <w:sz w:val="18"/>
                <w:szCs w:val="18"/>
                <w:color w:val="0000FF"/>
              </w:rPr>
            </w:pPr>
            <w:hyperlink w:anchor="page33">
              <w:r>
                <w:rPr>
                  <w:rFonts w:ascii="Arial" w:cs="Arial" w:eastAsia="Arial" w:hAnsi="Arial"/>
                  <w:sz w:val="18"/>
                  <w:szCs w:val="18"/>
                  <w:color w:val="0000FF"/>
                </w:rPr>
                <w:t>Properties</w:t>
              </w:r>
            </w:hyperlink>
          </w:p>
        </w:tc>
        <w:tc>
          <w:tcPr>
            <w:tcW w:w="7280" w:type="dxa"/>
            <w:vAlign w:val="bottom"/>
            <w:gridSpan w:val="6"/>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3.</w:t>
              </w:r>
            </w:hyperlink>
          </w:p>
        </w:tc>
        <w:tc>
          <w:tcPr>
            <w:tcW w:w="3020" w:type="dxa"/>
            <w:vAlign w:val="bottom"/>
            <w:gridSpan w:val="8"/>
          </w:tcPr>
          <w:p>
            <w:pPr>
              <w:ind w:left="260"/>
              <w:spacing w:after="0"/>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7280" w:type="dxa"/>
            <w:vAlign w:val="bottom"/>
            <w:gridSpan w:val="6"/>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4.</w:t>
              </w:r>
            </w:hyperlink>
          </w:p>
        </w:tc>
        <w:tc>
          <w:tcPr>
            <w:tcW w:w="380" w:type="dxa"/>
            <w:vAlign w:val="bottom"/>
            <w:gridSpan w:val="3"/>
          </w:tcPr>
          <w:p>
            <w:pPr>
              <w:spacing w:after="0"/>
              <w:rPr>
                <w:sz w:val="18"/>
                <w:szCs w:val="18"/>
                <w:color w:val="auto"/>
              </w:rPr>
            </w:pPr>
          </w:p>
        </w:tc>
        <w:tc>
          <w:tcPr>
            <w:tcW w:w="3020" w:type="dxa"/>
            <w:vAlign w:val="bottom"/>
            <w:gridSpan w:val="8"/>
          </w:tcPr>
          <w:p>
            <w:pPr>
              <w:ind w:left="260"/>
              <w:spacing w:after="0"/>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7280" w:type="dxa"/>
            <w:vAlign w:val="bottom"/>
            <w:gridSpan w:val="6"/>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bottom w:val="single" w:sz="8" w:color="0000FF"/>
            </w:tcBorders>
            <w:gridSpan w:val="2"/>
          </w:tcPr>
          <w:p>
            <w:pPr>
              <w:spacing w:after="0"/>
              <w:rPr>
                <w:rFonts w:ascii="Arial" w:cs="Arial" w:eastAsia="Arial" w:hAnsi="Arial"/>
                <w:sz w:val="18"/>
                <w:szCs w:val="18"/>
                <w:b w:val="1"/>
                <w:bCs w:val="1"/>
                <w:color w:val="0000FF"/>
                <w:w w:val="99"/>
              </w:rPr>
            </w:pPr>
            <w:hyperlink w:anchor="page33">
              <w:r>
                <w:rPr>
                  <w:rFonts w:ascii="Arial" w:cs="Arial" w:eastAsia="Arial" w:hAnsi="Arial"/>
                  <w:sz w:val="18"/>
                  <w:szCs w:val="18"/>
                  <w:b w:val="1"/>
                  <w:bCs w:val="1"/>
                  <w:color w:val="0000FF"/>
                  <w:w w:val="99"/>
                </w:rPr>
                <w:t>PART II</w:t>
              </w:r>
            </w:hyperlink>
          </w:p>
        </w:tc>
        <w:tc>
          <w:tcPr>
            <w:tcW w:w="50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r>
      <w:tr>
        <w:trPr>
          <w:trHeight w:val="209"/>
        </w:trPr>
        <w:tc>
          <w:tcPr>
            <w:tcW w:w="520" w:type="dxa"/>
            <w:vAlign w:val="bottom"/>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5.</w:t>
              </w:r>
            </w:hyperlink>
          </w:p>
        </w:tc>
        <w:tc>
          <w:tcPr>
            <w:tcW w:w="380" w:type="dxa"/>
            <w:vAlign w:val="bottom"/>
            <w:gridSpan w:val="2"/>
          </w:tcPr>
          <w:p>
            <w:pPr>
              <w:spacing w:after="0"/>
              <w:rPr>
                <w:sz w:val="18"/>
                <w:szCs w:val="18"/>
                <w:color w:val="auto"/>
              </w:rPr>
            </w:pPr>
          </w:p>
        </w:tc>
        <w:tc>
          <w:tcPr>
            <w:tcW w:w="10120" w:type="dxa"/>
            <w:vAlign w:val="bottom"/>
            <w:gridSpan w:val="12"/>
          </w:tcPr>
          <w:p>
            <w:pPr>
              <w:ind w:left="260"/>
              <w:spacing w:after="0"/>
              <w:rPr>
                <w:rFonts w:ascii="Arial" w:cs="Arial" w:eastAsia="Arial" w:hAnsi="Arial"/>
                <w:sz w:val="18"/>
                <w:szCs w:val="18"/>
                <w:color w:val="0000FF"/>
              </w:rPr>
            </w:pPr>
            <w:hyperlink w:anchor="page33">
              <w:r>
                <w:rPr>
                  <w:rFonts w:ascii="Arial" w:cs="Arial" w:eastAsia="Arial" w:hAnsi="Arial"/>
                  <w:sz w:val="18"/>
                  <w:szCs w:val="18"/>
                  <w:color w:val="0000FF"/>
                </w:rPr>
                <w:t>Market for Registrant’s Common Equity, Related Stockholder Matters and Issuer Purchases of Equity Securities</w:t>
              </w:r>
            </w:hyperlink>
          </w:p>
        </w:tc>
        <w:tc>
          <w:tcPr>
            <w:tcW w:w="180" w:type="dxa"/>
            <w:vAlign w:val="bottom"/>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6.</w:t>
              </w:r>
            </w:hyperlink>
          </w:p>
        </w:tc>
        <w:tc>
          <w:tcPr>
            <w:tcW w:w="380" w:type="dxa"/>
            <w:vAlign w:val="bottom"/>
            <w:gridSpan w:val="2"/>
          </w:tcPr>
          <w:p>
            <w:pPr>
              <w:spacing w:after="0"/>
              <w:rPr>
                <w:sz w:val="18"/>
                <w:szCs w:val="18"/>
                <w:color w:val="auto"/>
              </w:rPr>
            </w:pPr>
          </w:p>
        </w:tc>
        <w:tc>
          <w:tcPr>
            <w:tcW w:w="10120" w:type="dxa"/>
            <w:vAlign w:val="bottom"/>
            <w:gridSpan w:val="12"/>
          </w:tcPr>
          <w:p>
            <w:pPr>
              <w:ind w:left="260"/>
              <w:spacing w:after="0"/>
              <w:rPr>
                <w:rFonts w:ascii="Arial" w:cs="Arial" w:eastAsia="Arial" w:hAnsi="Arial"/>
                <w:sz w:val="18"/>
                <w:szCs w:val="18"/>
                <w:color w:val="0000FF"/>
              </w:rPr>
            </w:pPr>
            <w:hyperlink w:anchor="page35">
              <w:r>
                <w:rPr>
                  <w:rFonts w:ascii="Arial" w:cs="Arial" w:eastAsia="Arial" w:hAnsi="Arial"/>
                  <w:sz w:val="18"/>
                  <w:szCs w:val="18"/>
                  <w:color w:val="0000FF"/>
                </w:rPr>
                <w:t>&lt;Reserved&gt;</w:t>
              </w:r>
            </w:hyperlink>
          </w:p>
        </w:tc>
        <w:tc>
          <w:tcPr>
            <w:tcW w:w="180" w:type="dxa"/>
            <w:vAlign w:val="bottom"/>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7.</w:t>
              </w:r>
            </w:hyperlink>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20" w:type="dxa"/>
            <w:vAlign w:val="bottom"/>
            <w:gridSpan w:val="12"/>
          </w:tcPr>
          <w:p>
            <w:pPr>
              <w:ind w:left="260"/>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180" w:type="dxa"/>
            <w:vAlign w:val="bottom"/>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Item 7A.</w:t>
              </w:r>
            </w:hyperlink>
          </w:p>
        </w:tc>
        <w:tc>
          <w:tcPr>
            <w:tcW w:w="260" w:type="dxa"/>
            <w:vAlign w:val="bottom"/>
          </w:tcPr>
          <w:p>
            <w:pPr>
              <w:spacing w:after="0"/>
              <w:rPr>
                <w:sz w:val="18"/>
                <w:szCs w:val="18"/>
                <w:color w:val="auto"/>
              </w:rPr>
            </w:pPr>
          </w:p>
        </w:tc>
        <w:tc>
          <w:tcPr>
            <w:tcW w:w="10120" w:type="dxa"/>
            <w:vAlign w:val="bottom"/>
            <w:gridSpan w:val="12"/>
          </w:tcPr>
          <w:p>
            <w:pPr>
              <w:ind w:left="260"/>
              <w:spacing w:after="0"/>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180" w:type="dxa"/>
            <w:vAlign w:val="bottom"/>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8.</w:t>
              </w:r>
            </w:hyperlink>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20" w:type="dxa"/>
            <w:vAlign w:val="bottom"/>
            <w:gridSpan w:val="12"/>
          </w:tcPr>
          <w:p>
            <w:pPr>
              <w:ind w:left="260"/>
              <w:spacing w:after="0"/>
              <w:rPr>
                <w:rFonts w:ascii="Arial" w:cs="Arial" w:eastAsia="Arial" w:hAnsi="Arial"/>
                <w:sz w:val="18"/>
                <w:szCs w:val="18"/>
                <w:color w:val="0000FF"/>
              </w:rPr>
            </w:pPr>
            <w:hyperlink w:anchor="page46">
              <w:r>
                <w:rPr>
                  <w:rFonts w:ascii="Arial" w:cs="Arial" w:eastAsia="Arial" w:hAnsi="Arial"/>
                  <w:sz w:val="18"/>
                  <w:szCs w:val="18"/>
                  <w:color w:val="0000FF"/>
                </w:rPr>
                <w:t>Financial Statements and Supplementary Data</w:t>
              </w:r>
            </w:hyperlink>
          </w:p>
        </w:tc>
        <w:tc>
          <w:tcPr>
            <w:tcW w:w="180" w:type="dxa"/>
            <w:vAlign w:val="bottom"/>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Item 9.</w:t>
              </w:r>
            </w:hyperlink>
          </w:p>
        </w:tc>
        <w:tc>
          <w:tcPr>
            <w:tcW w:w="380" w:type="dxa"/>
            <w:vAlign w:val="bottom"/>
            <w:gridSpan w:val="2"/>
          </w:tcPr>
          <w:p>
            <w:pPr>
              <w:spacing w:after="0"/>
              <w:rPr>
                <w:sz w:val="18"/>
                <w:szCs w:val="18"/>
                <w:color w:val="auto"/>
              </w:rPr>
            </w:pPr>
          </w:p>
        </w:tc>
        <w:tc>
          <w:tcPr>
            <w:tcW w:w="10120" w:type="dxa"/>
            <w:vAlign w:val="bottom"/>
            <w:gridSpan w:val="12"/>
          </w:tcPr>
          <w:p>
            <w:pPr>
              <w:ind w:left="260"/>
              <w:spacing w:after="0"/>
              <w:rPr>
                <w:rFonts w:ascii="Arial" w:cs="Arial" w:eastAsia="Arial" w:hAnsi="Arial"/>
                <w:sz w:val="18"/>
                <w:szCs w:val="18"/>
                <w:color w:val="0000FF"/>
              </w:rPr>
            </w:pPr>
            <w:hyperlink w:anchor="page90">
              <w:r>
                <w:rPr>
                  <w:rFonts w:ascii="Arial" w:cs="Arial" w:eastAsia="Arial" w:hAnsi="Arial"/>
                  <w:sz w:val="18"/>
                  <w:szCs w:val="18"/>
                  <w:color w:val="0000FF"/>
                </w:rPr>
                <w:t>Changes in and Disagreements with Accountants on Accounting and Financial Disclosure</w:t>
              </w:r>
            </w:hyperlink>
          </w:p>
        </w:tc>
        <w:tc>
          <w:tcPr>
            <w:tcW w:w="180" w:type="dxa"/>
            <w:vAlign w:val="bottom"/>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Item 9A.</w:t>
              </w:r>
            </w:hyperlink>
          </w:p>
        </w:tc>
        <w:tc>
          <w:tcPr>
            <w:tcW w:w="260" w:type="dxa"/>
            <w:vAlign w:val="bottom"/>
          </w:tcPr>
          <w:p>
            <w:pPr>
              <w:spacing w:after="0"/>
              <w:rPr>
                <w:sz w:val="18"/>
                <w:szCs w:val="18"/>
                <w:color w:val="auto"/>
              </w:rPr>
            </w:pPr>
          </w:p>
        </w:tc>
        <w:tc>
          <w:tcPr>
            <w:tcW w:w="10120" w:type="dxa"/>
            <w:vAlign w:val="bottom"/>
            <w:gridSpan w:val="12"/>
          </w:tcPr>
          <w:p>
            <w:pPr>
              <w:ind w:left="260"/>
              <w:spacing w:after="0"/>
              <w:rPr>
                <w:rFonts w:ascii="Arial" w:cs="Arial" w:eastAsia="Arial" w:hAnsi="Arial"/>
                <w:sz w:val="18"/>
                <w:szCs w:val="18"/>
                <w:color w:val="0000FF"/>
              </w:rPr>
            </w:pPr>
            <w:hyperlink w:anchor="page91">
              <w:r>
                <w:rPr>
                  <w:rFonts w:ascii="Arial" w:cs="Arial" w:eastAsia="Arial" w:hAnsi="Arial"/>
                  <w:sz w:val="18"/>
                  <w:szCs w:val="18"/>
                  <w:color w:val="0000FF"/>
                </w:rPr>
                <w:t>Controls and Procedures</w:t>
              </w:r>
            </w:hyperlink>
          </w:p>
        </w:tc>
        <w:tc>
          <w:tcPr>
            <w:tcW w:w="180" w:type="dxa"/>
            <w:vAlign w:val="bottom"/>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90</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Item 9B.</w:t>
              </w:r>
            </w:hyperlink>
          </w:p>
        </w:tc>
        <w:tc>
          <w:tcPr>
            <w:tcW w:w="260" w:type="dxa"/>
            <w:vAlign w:val="bottom"/>
          </w:tcPr>
          <w:p>
            <w:pPr>
              <w:spacing w:after="0"/>
              <w:rPr>
                <w:sz w:val="18"/>
                <w:szCs w:val="18"/>
                <w:color w:val="auto"/>
              </w:rPr>
            </w:pPr>
          </w:p>
        </w:tc>
        <w:tc>
          <w:tcPr>
            <w:tcW w:w="10120" w:type="dxa"/>
            <w:vAlign w:val="bottom"/>
            <w:gridSpan w:val="12"/>
          </w:tcPr>
          <w:p>
            <w:pPr>
              <w:ind w:left="260"/>
              <w:spacing w:after="0"/>
              <w:rPr>
                <w:rFonts w:ascii="Arial" w:cs="Arial" w:eastAsia="Arial" w:hAnsi="Arial"/>
                <w:sz w:val="18"/>
                <w:szCs w:val="18"/>
                <w:color w:val="0000FF"/>
              </w:rPr>
            </w:pPr>
            <w:hyperlink w:anchor="page92">
              <w:r>
                <w:rPr>
                  <w:rFonts w:ascii="Arial" w:cs="Arial" w:eastAsia="Arial" w:hAnsi="Arial"/>
                  <w:sz w:val="18"/>
                  <w:szCs w:val="18"/>
                  <w:color w:val="0000FF"/>
                </w:rPr>
                <w:t>Other Information</w:t>
              </w:r>
            </w:hyperlink>
          </w:p>
        </w:tc>
        <w:tc>
          <w:tcPr>
            <w:tcW w:w="180" w:type="dxa"/>
            <w:vAlign w:val="bottom"/>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91</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40" w:type="dxa"/>
            <w:vAlign w:val="bottom"/>
            <w:gridSpan w:val="2"/>
          </w:tcPr>
          <w:p>
            <w:pPr>
              <w:spacing w:after="0"/>
              <w:rPr>
                <w:rFonts w:ascii="Arial" w:cs="Arial" w:eastAsia="Arial" w:hAnsi="Arial"/>
                <w:sz w:val="18"/>
                <w:szCs w:val="18"/>
                <w:color w:val="0000FF"/>
                <w:w w:val="88"/>
              </w:rPr>
            </w:pPr>
            <w:hyperlink w:anchor="page92">
              <w:r>
                <w:rPr>
                  <w:rFonts w:ascii="Arial" w:cs="Arial" w:eastAsia="Arial" w:hAnsi="Arial"/>
                  <w:sz w:val="18"/>
                  <w:szCs w:val="18"/>
                  <w:color w:val="0000FF"/>
                  <w:w w:val="88"/>
                </w:rPr>
                <w:t>Item 9C.</w:t>
              </w:r>
            </w:hyperlink>
          </w:p>
        </w:tc>
        <w:tc>
          <w:tcPr>
            <w:tcW w:w="260" w:type="dxa"/>
            <w:vAlign w:val="bottom"/>
          </w:tcPr>
          <w:p>
            <w:pPr>
              <w:spacing w:after="0"/>
              <w:rPr>
                <w:sz w:val="18"/>
                <w:szCs w:val="18"/>
                <w:color w:val="auto"/>
              </w:rPr>
            </w:pPr>
          </w:p>
        </w:tc>
        <w:tc>
          <w:tcPr>
            <w:tcW w:w="10120" w:type="dxa"/>
            <w:vAlign w:val="bottom"/>
            <w:gridSpan w:val="12"/>
          </w:tcPr>
          <w:p>
            <w:pPr>
              <w:ind w:left="260"/>
              <w:spacing w:after="0"/>
              <w:rPr>
                <w:rFonts w:ascii="Arial" w:cs="Arial" w:eastAsia="Arial" w:hAnsi="Arial"/>
                <w:sz w:val="18"/>
                <w:szCs w:val="18"/>
                <w:color w:val="0000FF"/>
              </w:rPr>
            </w:pPr>
            <w:hyperlink w:anchor="page92">
              <w:r>
                <w:rPr>
                  <w:rFonts w:ascii="Arial" w:cs="Arial" w:eastAsia="Arial" w:hAnsi="Arial"/>
                  <w:sz w:val="18"/>
                  <w:szCs w:val="18"/>
                  <w:color w:val="0000FF"/>
                </w:rPr>
                <w:t>Disclosure Regarding Foreign Jurisdictions that Prevent Inspections</w:t>
              </w:r>
            </w:hyperlink>
          </w:p>
        </w:tc>
        <w:tc>
          <w:tcPr>
            <w:tcW w:w="180" w:type="dxa"/>
            <w:vAlign w:val="bottom"/>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760" w:type="dxa"/>
            <w:vAlign w:val="bottom"/>
            <w:gridSpan w:val="4"/>
          </w:tcPr>
          <w:p>
            <w:pPr>
              <w:spacing w:after="0"/>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PART III</w:t>
              </w:r>
            </w:hyperlink>
          </w:p>
        </w:tc>
        <w:tc>
          <w:tcPr>
            <w:tcW w:w="18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600" w:type="dxa"/>
            <w:vAlign w:val="bottom"/>
          </w:tcPr>
          <w:p>
            <w:pPr>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Item 10.</w:t>
              </w:r>
            </w:hyperlink>
          </w:p>
        </w:tc>
        <w:tc>
          <w:tcPr>
            <w:tcW w:w="10420" w:type="dxa"/>
            <w:vAlign w:val="bottom"/>
            <w:gridSpan w:val="8"/>
          </w:tcPr>
          <w:p>
            <w:pPr>
              <w:ind w:left="560"/>
              <w:spacing w:after="0"/>
              <w:rPr>
                <w:rFonts w:ascii="Arial" w:cs="Arial" w:eastAsia="Arial" w:hAnsi="Arial"/>
                <w:sz w:val="18"/>
                <w:szCs w:val="18"/>
                <w:color w:val="0000FF"/>
              </w:rPr>
            </w:pPr>
            <w:hyperlink w:anchor="page92">
              <w:r>
                <w:rPr>
                  <w:rFonts w:ascii="Arial" w:cs="Arial" w:eastAsia="Arial" w:hAnsi="Arial"/>
                  <w:sz w:val="18"/>
                  <w:szCs w:val="18"/>
                  <w:color w:val="0000FF"/>
                </w:rPr>
                <w:t>Directors, Executive Officers and Corporate Governance</w:t>
              </w:r>
            </w:hyperlink>
          </w:p>
        </w:tc>
        <w:tc>
          <w:tcPr>
            <w:tcW w:w="180" w:type="dxa"/>
            <w:vAlign w:val="bottom"/>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91</w:t>
              </w:r>
            </w:hyperlink>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Item 11.</w:t>
              </w:r>
            </w:hyperlink>
          </w:p>
        </w:tc>
        <w:tc>
          <w:tcPr>
            <w:tcW w:w="10420" w:type="dxa"/>
            <w:vAlign w:val="bottom"/>
            <w:gridSpan w:val="8"/>
          </w:tcPr>
          <w:p>
            <w:pPr>
              <w:ind w:left="560"/>
              <w:spacing w:after="0"/>
              <w:rPr>
                <w:rFonts w:ascii="Arial" w:cs="Arial" w:eastAsia="Arial" w:hAnsi="Arial"/>
                <w:sz w:val="18"/>
                <w:szCs w:val="18"/>
                <w:color w:val="0000FF"/>
              </w:rPr>
            </w:pPr>
            <w:hyperlink w:anchor="page92">
              <w:r>
                <w:rPr>
                  <w:rFonts w:ascii="Arial" w:cs="Arial" w:eastAsia="Arial" w:hAnsi="Arial"/>
                  <w:sz w:val="18"/>
                  <w:szCs w:val="18"/>
                  <w:color w:val="0000FF"/>
                </w:rPr>
                <w:t>Executive Compensation</w:t>
              </w:r>
            </w:hyperlink>
          </w:p>
        </w:tc>
        <w:tc>
          <w:tcPr>
            <w:tcW w:w="180" w:type="dxa"/>
            <w:vAlign w:val="bottom"/>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91</w:t>
              </w:r>
            </w:hyperlink>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Item 12.</w:t>
              </w:r>
            </w:hyperlink>
          </w:p>
        </w:tc>
        <w:tc>
          <w:tcPr>
            <w:tcW w:w="10420" w:type="dxa"/>
            <w:vAlign w:val="bottom"/>
            <w:gridSpan w:val="8"/>
          </w:tcPr>
          <w:p>
            <w:pPr>
              <w:ind w:left="560"/>
              <w:spacing w:after="0"/>
              <w:rPr>
                <w:rFonts w:ascii="Arial" w:cs="Arial" w:eastAsia="Arial" w:hAnsi="Arial"/>
                <w:sz w:val="18"/>
                <w:szCs w:val="18"/>
                <w:color w:val="0000FF"/>
              </w:rPr>
            </w:pPr>
            <w:hyperlink w:anchor="page92">
              <w:r>
                <w:rPr>
                  <w:rFonts w:ascii="Arial" w:cs="Arial" w:eastAsia="Arial" w:hAnsi="Arial"/>
                  <w:sz w:val="18"/>
                  <w:szCs w:val="18"/>
                  <w:color w:val="0000FF"/>
                </w:rPr>
                <w:t>Security Ownership of Certain Beneficial Owners and Management and Related Stockholder Matters</w:t>
              </w:r>
            </w:hyperlink>
          </w:p>
        </w:tc>
        <w:tc>
          <w:tcPr>
            <w:tcW w:w="180" w:type="dxa"/>
            <w:vAlign w:val="bottom"/>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91</w:t>
              </w:r>
            </w:hyperlink>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Item 13.</w:t>
              </w:r>
            </w:hyperlink>
          </w:p>
        </w:tc>
        <w:tc>
          <w:tcPr>
            <w:tcW w:w="10420" w:type="dxa"/>
            <w:vAlign w:val="bottom"/>
            <w:gridSpan w:val="8"/>
          </w:tcPr>
          <w:p>
            <w:pPr>
              <w:ind w:left="560"/>
              <w:spacing w:after="0"/>
              <w:rPr>
                <w:rFonts w:ascii="Arial" w:cs="Arial" w:eastAsia="Arial" w:hAnsi="Arial"/>
                <w:sz w:val="18"/>
                <w:szCs w:val="18"/>
                <w:color w:val="0000FF"/>
              </w:rPr>
            </w:pPr>
            <w:hyperlink w:anchor="page93">
              <w:r>
                <w:rPr>
                  <w:rFonts w:ascii="Arial" w:cs="Arial" w:eastAsia="Arial" w:hAnsi="Arial"/>
                  <w:sz w:val="18"/>
                  <w:szCs w:val="18"/>
                  <w:color w:val="0000FF"/>
                </w:rPr>
                <w:t>Certain Relationships and Related Transactions and Director Independence</w:t>
              </w:r>
            </w:hyperlink>
          </w:p>
        </w:tc>
        <w:tc>
          <w:tcPr>
            <w:tcW w:w="180" w:type="dxa"/>
            <w:vAlign w:val="bottom"/>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92</w:t>
              </w:r>
            </w:hyperlink>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00" w:type="dxa"/>
            <w:vAlign w:val="bottom"/>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Item 14.</w:t>
              </w:r>
            </w:hyperlink>
          </w:p>
        </w:tc>
        <w:tc>
          <w:tcPr>
            <w:tcW w:w="10420" w:type="dxa"/>
            <w:vAlign w:val="bottom"/>
            <w:gridSpan w:val="8"/>
          </w:tcPr>
          <w:p>
            <w:pPr>
              <w:ind w:left="560"/>
              <w:spacing w:after="0"/>
              <w:rPr>
                <w:rFonts w:ascii="Arial" w:cs="Arial" w:eastAsia="Arial" w:hAnsi="Arial"/>
                <w:sz w:val="18"/>
                <w:szCs w:val="18"/>
                <w:color w:val="0000FF"/>
              </w:rPr>
            </w:pPr>
            <w:hyperlink w:anchor="page93">
              <w:r>
                <w:rPr>
                  <w:rFonts w:ascii="Arial" w:cs="Arial" w:eastAsia="Arial" w:hAnsi="Arial"/>
                  <w:sz w:val="18"/>
                  <w:szCs w:val="18"/>
                  <w:color w:val="0000FF"/>
                </w:rPr>
                <w:t>Principal Accountant Fees and Services</w:t>
              </w:r>
            </w:hyperlink>
          </w:p>
        </w:tc>
        <w:tc>
          <w:tcPr>
            <w:tcW w:w="180" w:type="dxa"/>
            <w:vAlign w:val="bottom"/>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92</w:t>
              </w:r>
            </w:hyperlink>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Borders>
              <w:bottom w:val="single" w:sz="8" w:color="0000FF"/>
            </w:tcBorders>
          </w:tcPr>
          <w:p>
            <w:pPr>
              <w:spacing w:after="0"/>
              <w:rPr>
                <w:rFonts w:ascii="Arial" w:cs="Arial" w:eastAsia="Arial" w:hAnsi="Arial"/>
                <w:sz w:val="18"/>
                <w:szCs w:val="18"/>
                <w:b w:val="1"/>
                <w:bCs w:val="1"/>
                <w:color w:val="0000FF"/>
                <w:w w:val="98"/>
              </w:rPr>
            </w:pPr>
            <w:hyperlink w:anchor="page93">
              <w:r>
                <w:rPr>
                  <w:rFonts w:ascii="Arial" w:cs="Arial" w:eastAsia="Arial" w:hAnsi="Arial"/>
                  <w:sz w:val="18"/>
                  <w:szCs w:val="18"/>
                  <w:b w:val="1"/>
                  <w:bCs w:val="1"/>
                  <w:color w:val="0000FF"/>
                  <w:w w:val="98"/>
                </w:rPr>
                <w:t>PART IV</w:t>
              </w:r>
            </w:hyperlink>
          </w:p>
        </w:tc>
        <w:tc>
          <w:tcPr>
            <w:tcW w:w="5240" w:type="dxa"/>
            <w:vAlign w:val="bottom"/>
            <w:gridSpan w:val="2"/>
          </w:tcPr>
          <w:p>
            <w:pPr>
              <w:spacing w:after="0"/>
              <w:rPr>
                <w:sz w:val="18"/>
                <w:szCs w:val="18"/>
                <w:color w:val="auto"/>
              </w:rPr>
            </w:pPr>
          </w:p>
        </w:tc>
      </w:tr>
      <w:tr>
        <w:trPr>
          <w:trHeight w:val="210"/>
        </w:trPr>
        <w:tc>
          <w:tcPr>
            <w:tcW w:w="600" w:type="dxa"/>
            <w:vAlign w:val="bottom"/>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Item 15.</w:t>
              </w:r>
            </w:hyperlink>
          </w:p>
        </w:tc>
        <w:tc>
          <w:tcPr>
            <w:tcW w:w="4640" w:type="dxa"/>
            <w:vAlign w:val="bottom"/>
            <w:gridSpan w:val="4"/>
          </w:tcPr>
          <w:p>
            <w:pPr>
              <w:ind w:left="560"/>
              <w:spacing w:after="0"/>
              <w:rPr>
                <w:rFonts w:ascii="Arial" w:cs="Arial" w:eastAsia="Arial" w:hAnsi="Arial"/>
                <w:sz w:val="18"/>
                <w:szCs w:val="18"/>
                <w:color w:val="0000FF"/>
              </w:rPr>
            </w:pPr>
            <w:hyperlink w:anchor="page94">
              <w:r>
                <w:rPr>
                  <w:rFonts w:ascii="Arial" w:cs="Arial" w:eastAsia="Arial" w:hAnsi="Arial"/>
                  <w:sz w:val="18"/>
                  <w:szCs w:val="18"/>
                  <w:color w:val="0000FF"/>
                </w:rPr>
                <w:t>Exhibits and Financial Statement Schedules</w:t>
              </w:r>
            </w:hyperlink>
          </w:p>
        </w:tc>
        <w:tc>
          <w:tcPr>
            <w:tcW w:w="5960" w:type="dxa"/>
            <w:vAlign w:val="bottom"/>
            <w:gridSpan w:val="3"/>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00" w:type="dxa"/>
            <w:vAlign w:val="bottom"/>
          </w:tcPr>
          <w:p>
            <w:pPr>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Item 16.</w:t>
              </w:r>
            </w:hyperlink>
          </w:p>
        </w:tc>
        <w:tc>
          <w:tcPr>
            <w:tcW w:w="4640" w:type="dxa"/>
            <w:vAlign w:val="bottom"/>
            <w:gridSpan w:val="4"/>
          </w:tcPr>
          <w:p>
            <w:pPr>
              <w:ind w:left="560"/>
              <w:spacing w:after="0"/>
              <w:rPr>
                <w:rFonts w:ascii="Arial" w:cs="Arial" w:eastAsia="Arial" w:hAnsi="Arial"/>
                <w:sz w:val="18"/>
                <w:szCs w:val="18"/>
                <w:color w:val="0000FF"/>
              </w:rPr>
            </w:pPr>
            <w:hyperlink w:anchor="page97">
              <w:r>
                <w:rPr>
                  <w:rFonts w:ascii="Arial" w:cs="Arial" w:eastAsia="Arial" w:hAnsi="Arial"/>
                  <w:sz w:val="18"/>
                  <w:szCs w:val="18"/>
                  <w:color w:val="0000FF"/>
                </w:rPr>
                <w:t>Form 10-K Summary</w:t>
              </w:r>
            </w:hyperlink>
          </w:p>
        </w:tc>
        <w:tc>
          <w:tcPr>
            <w:tcW w:w="5960" w:type="dxa"/>
            <w:vAlign w:val="bottom"/>
            <w:gridSpan w:val="3"/>
          </w:tcPr>
          <w:p>
            <w:pPr>
              <w:jc w:val="right"/>
              <w:spacing w:after="0"/>
              <w:rPr>
                <w:rFonts w:ascii="Arial" w:cs="Arial" w:eastAsia="Arial" w:hAnsi="Arial"/>
                <w:sz w:val="18"/>
                <w:szCs w:val="18"/>
                <w:color w:val="0000FF"/>
              </w:rPr>
            </w:pPr>
            <w:hyperlink w:anchor="page97">
              <w:r>
                <w:rPr>
                  <w:rFonts w:ascii="Arial" w:cs="Arial" w:eastAsia="Arial" w:hAnsi="Arial"/>
                  <w:sz w:val="18"/>
                  <w:szCs w:val="18"/>
                  <w:color w:val="0000FF"/>
                </w:rPr>
                <w:t>96</w:t>
              </w:r>
            </w:hyperlink>
          </w:p>
        </w:tc>
      </w:tr>
      <w:tr>
        <w:trPr>
          <w:trHeight w:val="20"/>
        </w:trPr>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All references to “Amkor,” “we,” “us,” “our” or the “Company” in this Annual Report on Form 10-K (this “Form 10-K”) are to Amkor Technology, Inc. and its subsidiaries. We refer to the Republic of Korea, which is also commonly known as South Korea, as “Korea.” Amounts preceded by ¥ are in Japanese yen and ₩ are in Korean won. Amkor</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Amkor Technology</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ChipArray</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FusionQuad</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J-Devices</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Micro</w:t>
      </w:r>
      <w:r>
        <w:rPr>
          <w:rFonts w:ascii="Arial" w:cs="Arial" w:eastAsia="Arial" w:hAnsi="Arial"/>
          <w:sz w:val="17"/>
          <w:szCs w:val="17"/>
          <w:color w:val="auto"/>
        </w:rPr>
        <w:t>LeadFrame</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TMV</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and SWIFT</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among others, are trademarks of Amkor Technology, Inc. All other trademarks appearing herein are held by their respective owners. Subsequent use of the above trademarks in this Form 10-K may occur without the respective superscript symbol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w:t>
      </w:r>
      <w:r>
        <w:rPr>
          <w:rFonts w:ascii="Arial" w:cs="Arial" w:eastAsia="Arial" w:hAnsi="Arial"/>
          <w:sz w:val="22"/>
          <w:szCs w:val="22"/>
          <w:color w:val="auto"/>
          <w:vertAlign w:val="superscript"/>
        </w:rPr>
        <w:t>TM</w:t>
      </w:r>
      <w:r>
        <w:rPr>
          <w:rFonts w:ascii="Arial" w:cs="Arial" w:eastAsia="Arial" w:hAnsi="Arial"/>
          <w:sz w:val="17"/>
          <w:szCs w:val="17"/>
          <w:color w:val="auto"/>
        </w:rPr>
        <w:t>) in order to facilitate the readability of this Form 10-K and are not a waiver of any rights that may be associated with the relevant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This Form 10-K contains forward-looking statements within the meaning of the federal securities laws, including but not limited to statements regarding</w:t>
      </w:r>
    </w:p>
    <w:p>
      <w:pPr>
        <w:spacing w:after="0" w:line="46" w:lineRule="exact"/>
        <w:rPr>
          <w:sz w:val="20"/>
          <w:szCs w:val="20"/>
          <w:color w:val="auto"/>
        </w:rPr>
      </w:pPr>
    </w:p>
    <w:p>
      <w:pPr>
        <w:jc w:val="both"/>
        <w:ind w:firstLine="8"/>
        <w:spacing w:after="0" w:line="283" w:lineRule="auto"/>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timing and focus of our expected capital investments in 2022, including expenditures in support of our announced expansion into Vietnam and our advanced packaging and test equipment, (2) our ability to fund our operating activities and financial requirements for the next twelve months, (3) the effect of changes in revenue levels and capacity utilization on our gross margin, (4) the costs attributable to compliance with environmental laws and regulations or green initiatives, (5) the impact of the Covid-19 pandemic on our operations, financial results and supply chain, (6) the focus of our research and development activities, (7) the anticipated impact of tax law changes in the jurisdictions in which we operate, (8) the grant and expiration of tax holidays in jurisdictions in which we operate and expectations regarding our effective tax rate and the availability of tax incentives, (9) the creation or release of valuation allowances related to taxes in the future, (10) our repurchase or repayment of outstanding debt, (11) payment of dividends, (12) compliance with restrictive covenants in the indentures and agreements governing our current and future indebtedness, (13) expected contributions to foreign pension plans and potential future conversion of our unfunded severance plan in Korea to a defined contribution plan, (14) liability for unrecognized tax benefits and the potential impact of our unrecognized tax benefits on our effective tax rate, (15) the effect of foreign currency exchange rate exposure on our financial results, (16) the volatility of the trading price of our common stock, (17) changes to our internal controls related to integration of acquired operations and implementation of an enterprise resource planning system, (18) our efforts to enlarge our customer base in certain geographic areas and markets, (19) demand for advanced packages in mobile and automotive devices and our technology leadership and potential growth in this market, (20) our expected forfeiture rate for share-based compensation awards, (21) our expected rate of return for pension plan assets, (22) projects to install or integrate new information technology systems or upgrade our existing systems, (23) our expected revenue recognition, (24) the anticipated schedule for construction of our new manufacturing facility in Vietnam and (25) other statements that are not historical facts. In some cases, you can identify forward-looking statements by terminology such as “may,” “will,” “should,” “expects,” “plans,” “anticipates,” “believes,” “estimates,” “predicts,” “potential,” “continue,” “intend,” by the negative of these terms or other comparable terminology or by discussion of strategy, plans or intentions. These forward-looking statements include risks, uncertainties, assumptions and other factors that could affect future results or cause actual results and events to differ materially from those anticipated in such forward-looking statements. Other important risk factors that could affect the outcome of the events set forth in these statements and that could affect our operating results and financial condition are discussed in Part I, Item 1A of this Form 10-K and in our subsequent reports filed with or furnished to the Securities and Exchange Commission (“SEC”) prior to or after the date hereof. You should carefully consider the trends, risks and uncertainties described in this Form 10-K and other reports filed with or furnished to the SEC before making any investment decision with respect to our securities. If any of the trends, risks or uncertainties described in this Form 10-K or elsewhere in our SEC reports actually occurs or continues, our business, financial condition or operating results could be materially adversely affected, the trading prices of our securities could decline, and you could lose part or all of your investment. All forward-looking statements in this Form 10-K are made based on our current expectations, forecasts, estimates and assumptions. Amkor undertakes no obligation to review or update any forward-looking statements to reflect events or circumstances occurring after the date of the filing of this Form 10-K except as may be required by law. All forward-looking statements attributable to us or persons acting on our behalf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Amkor was a pioneer in the outsourcing of semiconductor packaging and test services, and over the years we have built a leading position by:</w:t>
      </w:r>
    </w:p>
    <w:p>
      <w:pPr>
        <w:spacing w:after="0" w:line="1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Collaborating with customers, foundries,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a geographically diverse operating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Developing a competitive cost structure through disciplined capital investment.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packaging and test services are designed to meet application and chip specific requirements including: the required type of interconnect technology; size; thickness; and electrical, mechanical and thermal performance. We provide turnkey packaging and test services including semiconductor wafer bump, wafer probe, wafer back-grind, package design, packaging, system-level and final test and drop shipment services. Our customers use us for one or more of these services.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our services to integrated device manufacturers (“IDMs”), “fabless” semiconductor companies, OEMs and contract foundries. IDMs generally design, manufacture, package and test semiconductors in their own facilities. However, the availability of technologically advanced outsourced manufacturing services has encouraged IDMs to outsource a portion of their manufacturing. By offering a broad package portfolio, Amkor allows IDMs to outsource packaging and test services and focus their investments on core competencies such as silicon fabrication. Fabless semiconductor companies do not have factories. They focus exclusively on semiconductor design and outsource virtually every step of the manufacturing process, utilizing contract foundries to manufacture their semiconductors in wafer form and companies such as Amkor for their packaging and test needs. Some companies will engage a contract foundry to manage the complete semiconductor manufacturing process, and in turn, the contract foundry will outsource some of its packaging and test needs.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devices are the essential building blocks used in most electronic products. As electronic and semiconductor devices have evolved, several important trends have emerged that have fueled the growth of the overall semiconductor industry, as well as the market for outsourced semiconductor packaging and test services. These trends include:</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overall increase in the semiconductor content within electronic products to provide greater functionality and higher levels of performance.</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increasing demand for mobile and connected devices, including the worldwide adoption of “smart” phones, tablets and other Internet-of-Things (“IoT”) devices that can access the internet and provide multimedia capabilities.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expansion of 5G infrastructure and enabled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proliferation of semiconductor devices into well-established end products such as automotive systems for automation and driver assist, electrification and infotainment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mobility and connectivity capabilities driving demand for new broadband wired and wireless networking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Digitalization driving expansion of data generation and storage.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of Heterogeneous Integration (diverse dies positioned close to each other within the same package) to reduce cost, improve yields and deliver required performance in datacenter computing, artificial intelligence and similar end uses.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of advanced system-in-package (“SiP”) modules (combining multiple semiconductor and other electronic components in a single package) to meet the demand for miniaturization and higher functionality at competitive cost.</w:t>
      </w:r>
    </w:p>
    <w:p>
      <w:pPr>
        <w:spacing w:after="0" w:line="116"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increase in digital format in our environment, from sensors for automobiles (e.g., pressure, radar, LiDAR and image recognition), mobile devices (e.g., 3D motion, temperature, acceleration and imaging), and IoT (e.g., in-home sensing from temperature to weather and wearables).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supplier in the semiconductor industry, our business is cyclical by nature and impacted by broad economic factors, such as worldwide gross domestic product and consumer spending. With the exception of 2020, where the Covid-19 pandemic caused worldwide gross domestic product levels to decline during a period of strong growth in the semiconductor industry, there has generally been a strong correlation between worldwide gross domestic product levels, consumer spending and semiconductor industry cycles.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Trends in Semiconductor Manufacturing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Semiconductor companies outsource their packaging and test needs to service providers such as Amkor for the following reasons: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have developed expertise in advanced technologies.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increasing demands for miniaturization, greater functionality, lower power consumption and improved thermal and electrical performance are driving the continuous development of semiconductor packaging and test technologies that are more sophisticated, complex, capital intensive and customized. This trend has led many semiconductor companies and OEMs to view packaging and test as enabling technologies requiring the technological innovation expertise found in the leading outsourced assembly and test companies. At the same time, these companies are often looking to reduce the internal manufacturing and research and development costs in packaging and test solutions. As a result, many of these companies are increasingly relying on packaging and test service providers as key sources for new package designs and advanced interconnect technologies.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offer a cost-effective solution in a cyclical, capital intensive industry.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industry is cyclical by nature and impacted by broad economic factors, such as changes in worldwide gross domestic product and consumer spending. Semiconductor packaging and test are complex processes requiring substantial investment in specialized equipment, factories and human capital. As a result of this cyclicality and the large investments required, manufacturing facilities must operate at consistently high levels of utilization to be cost-effective. Shorter product life cycles, coupled with the need to update or replace packaging and test equipment to accommodate new package types, make it more difficult for IDMs to maintain cost-effective utilization of their packaging and test assets throughout semiconductor industry cycles. Packaging and test service providers, on the other hand, can typically use their assets to support a broad range of customers and multiple end markets, potentially generating more efficient use of their production assets and a more cost-effective solution.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Packaging and test service providers can facilitate a more efficient supply chain and help shorten time-to-market for new products.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semiconductor companies, together with their customers, are seeking to shorten the time-to-market for new products and that having an effective supply chain is a critical factor in facilitating timely and successful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introductions. Packaging and test service providers have the resources and expertise to timely develop and implement new packaging technology in high volume. For this reason, semiconductor companies and OEMs are leveraging the capabilities of packaging and test service providers to bring new products to market more quickly.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High quality packaging and test service providers enable semiconductor manufacturers to focus their resources on semiconductor design and wafer fabrication.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semiconductor process technology migrates to larger wafers and smaller feature sizes, the cost of building a state-of-the-art wafer fabrication factory has risen significantly. The high cost of investing in next generation silicon technology and equipment is causing many semiconductor companies to adopt or maintain a “fabless” or “fab-lite” strategy to reduce or eliminate their investment in wafer fabrication and associated packaging and test operations. As a result, these companies are increasing their reliance on outsourced providers of semiconductor manufacturing services, including packaging and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COMPETITIVE STRENGTHS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Amkor is a leader in advanced packaging technology in the outsourced assembly and test domain. Growth in the semiconductor industry is being driven primarily by advanced packaging within four key megatrends of 5G, IoT, high-performance computing (“HPC”) and automotive. We believe Amkor is well positioned in each of these end markets.</w:t>
      </w:r>
    </w:p>
    <w:p>
      <w:pPr>
        <w:spacing w:after="0" w:line="128" w:lineRule="exact"/>
        <w:rPr>
          <w:sz w:val="20"/>
          <w:szCs w:val="20"/>
          <w:color w:val="auto"/>
        </w:rPr>
      </w:pPr>
    </w:p>
    <w:p>
      <w:pPr>
        <w:jc w:val="both"/>
        <w:ind w:left="660" w:hanging="328"/>
        <w:spacing w:after="0" w:line="24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our communications end market, we have a strong position across multiple device functionalities. We are collaborating with industry leaders and emerging participants as smartphones transition to 5G and drive semiconductor growth by the continuing adoption of new wireless standards and the integration of a broad range of applications. The trend to more functionality drives miniaturization and cost reduction enabled by advanced packaging.</w:t>
      </w:r>
    </w:p>
    <w:p>
      <w:pPr>
        <w:spacing w:after="0" w:line="133"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IoT wearables within our consumer end market are evolving in multiple applications, such as watches, health trackers, hearables, biometrics and smart glasses. Integration of multiple functions in small form factors, processors, sensors and connectivity devices depends on innovation in advanced packaging.</w:t>
      </w:r>
    </w:p>
    <w:p>
      <w:pPr>
        <w:spacing w:after="0" w:line="127"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Increased data traffic requiring higher networking speed and storage, as well as computing power increases in HPC, datacenters, cloud computing, AI, PCs and laptops, are driving demand for more semiconductors and advanced packaging in the computing end market.</w:t>
      </w:r>
    </w:p>
    <w:p>
      <w:pPr>
        <w:spacing w:after="0" w:line="92" w:lineRule="exact"/>
        <w:rPr>
          <w:rFonts w:ascii="Arial" w:cs="Arial" w:eastAsia="Arial" w:hAnsi="Arial"/>
          <w:sz w:val="17"/>
          <w:szCs w:val="17"/>
          <w:color w:val="auto"/>
        </w:rPr>
      </w:pPr>
    </w:p>
    <w:p>
      <w:pPr>
        <w:jc w:val="both"/>
        <w:ind w:left="660" w:hanging="328"/>
        <w:spacing w:after="0" w:line="294"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semiconductor content in automobiles is driving greater needs for advanced packaging to enable the proliferation of safety features such as advanced driver assistance systems (“ADAS”) and radar and digital cockpit features such as infotainment displays. The increasing battery voltage, higher voltage power converters and inverter automotive components also need innovative power packaging solutions.</w:t>
      </w:r>
    </w:p>
    <w:p>
      <w:pPr>
        <w:spacing w:after="0" w:line="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financial goal is profitable sales growth. We believe that Amkor’s strength in advanced packaging, combined with the following strategies, will achieve that goal and create long-term shareholder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Leadership in Services for Advanced Technologies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industry leader in developing and commercializing cost-effective advanced packaging and test technologies, and we believe that our advanced technology solutions provide increased value to our customers.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approximately 550 employees, as of December 31, 2021, engaged in research and development and manufacturing process engineering for new semiconductor packaging and test technologies, we are a technology leader in areas such as fine pitch bumping, advanced flip chip, wafer-level processing, advanced SiPs and power modules.</w:t>
      </w:r>
    </w:p>
    <w:p>
      <w:pPr>
        <w:spacing w:after="0" w:line="1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work closely with our customers to develop cost-effective leading-edge packages for the next generation of devices. These include integrated technologies such as advanced SiP, wafer-level fan-out (“WLFO”), Silicon Wafer Integrated Fan-out Technology (“SWIFT”), High Density Fan-Out (“HDFO”) and redistribution layer (“RDL”) solutions which enable very thin, very small products that combine application processors, memory, baseband and other peripheral integrated circuits (“ICs”). Our advanced packages may utilize Through Silicon Via (“TSV”) interconnects and silicon interposers, which enable the integration of high-performance chips such as high bandwidth memory and graphics processors into a single package. In addition, we co-develop with customers high power modules involving gallium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nitride (“GaN”) and silicon carbide (“SiC”) based devices. Our approach is to work with lead customers to develop processes that will enable volume manufacturing with high yields and reliability.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demand for advanced packaging services will continue to grow as our customers and leading electronics OEMs strive for smaller device geometries, higher levels of integration and performance and lower power consumption. We intend to continue to leverage our investment in advanced technology to meet the demand for these services in high growth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Optimize Utilization of Existing Assets and Broaden Our Customer Base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Another key to our success is to optimize the utilization of our existing assets. The transition by leading edge customers to newer packaging and test equipment platforms typically frees up capacity in existing, previously installed equipment. As part of our strategy, we are focused on developing a second wave of customers to utilize these assets more effectively over a longer period of time. We are building and utilizing manufacturing lines which support multiple customers and increase factory utilization through more sophisticated planning processes and more intensive efficiency improvement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Selectively Grow Our Scale and Scope through Strategic Investments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see attractive opportunities to grow our customer base and expand markets through strategic investments. For example, in 2021, we announced our plans to build a new state-of-the-art manufacturing facility in Bac Ninh, Vietnam. Investing in Bac Ninh expands our manufacturing footprint in support of customer needs for an additional cost-competitive supply chain solution for advanced SiP and other packaging solutions. Construction is expected to begin in 2022.</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selective growth through joint ventures, acquisitions and other strategic investments can help diversify our revenue streams, improve our profits and maintain our technological leadership.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outsourced semiconductor packaging and test market is very competitive. We also compete with the internal semiconductor packaging and test capabilities of many of our customers and foundries. We believe we are well-positioned in the outsourced packaging and test services market. The following competitive strengths support our strategy to build upon our industry position and remain a preferred provider of semiconductor packaging and test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Packaging Technology Leadership</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leader in developing and deploying advanced semiconductor packaging and test solutions. We have designed and developed several state-of-the-art package formats and technologies, including our Dual Side Molded Ball Grid Array (“DSMBGA”) SiP platform and multi-chip modules that incorporate silicon interposers between the module chips and substrate. In addition, we believe that as semiconductor technology continues to achieve smaller device geometries with higher levels of integration, speed and performance, packages will increasingly require wafer-level Chip Scale Packaging (“CSP”), WLFO, SWIFT and Flip Chip interconnect solutions, advanced SiP products, and medium and higher power density packages and modules.</w:t>
      </w:r>
    </w:p>
    <w:p>
      <w:pPr>
        <w:spacing w:after="0" w:line="10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continue to invest in developing the key processes and packaging and test technologies required for our customers to deliver advanced integrated and modular solutions to market. We are also a developer of environmentally friendly IC packaging, which involves the elimination of lead and certain other materials.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 Offering of Semiconductor Package Design, Packaging and Test Services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Creating successful interconnect solutions for advanced semiconductor devices often poses unique thermal, electrical and mechanical design challenges, and we employ a large number of engineers to solve these challenges. This wide variety of packaging offerings is necessary to meet the diverse needs of our customers for the optimal combination of performance, size and cost. Utilizing Amkor for its innovative packaging, test and design services enables our customers to focus their resources on semiconductor design and wafer fabrication.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also offer an extensive line of advanced probe and final test services for analog, digital, logic, mixed signal, memory, sensors and RF-semiconductor devices. We believe that the breadth of our design, packaging and test services is important to customers seeking to limit the number of their suppliers.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Long-Standing Relationships and Collaboration with Prominent Semiconductor Companies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customers include most of the world’s largest semiconductor companies, and over the last five decades we have developed long-standing relationships with many of these companies. We believe that our production excellence, including high quality, reliability and predictability, has been a key factor in our success in attracting and retaining customers. We work with our customers and our suppliers to develop proprietary process technologies to enhance our existing capabilities, reduce time-to-market, improve quality and lower costs.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our focus on research and product development will enable us to enter new markets early, capture market share and promote the adoption of our new package designs as industry standards. We collaborate with customers and leading OEMs to develop comprehensive packaging solutions that make it easier for next-generation semiconductors to be designed into next-generation end products. By collaborating with leading semiconductor companies, foundries and OEM electronic companies, we are able to focus resources on developing new packages that will meet the requirements of new products. The traditional delineation between front end semiconductor manufacturing and packaging is starting to converge. Foundries, and in some cases IDMs, are integrating some packaging activities closer to front end wafer processes. We work closely with foundry partners to complement these offerings by offering similar wafer-based technologies as well as downstream processing.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Diversified Operating Base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 broad and geographically diverse operating footprint strategically located in seven countries in many of the world’s important electronics manufacturing regions. We believe that our scale and scope allow us to provide a flexible supply chain and cost-effective solutions to our customers by:</w:t>
      </w:r>
    </w:p>
    <w:p>
      <w:pPr>
        <w:spacing w:after="0" w:line="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Offering capacity to absorb large orders and accommodate quick turn-around times;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Obtaining favorable pricing and supply agreements on materials and equipment by using our purchasing power and leading industry position;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Qualifying production of customer devices at multiple manufacturing sites to mitigate the risks of supply disruptions;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capabilities and solutions for customer-specific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PACKAGING AND TEST SERVICES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general, the semiconductor manufacturing process consists of IC design, wafer fabrication, wafer probe, packaging and final test. The packaging and test services we provide occur subsequent to wafer fabrication. The wafers that we receive from our customers are generally consigned to us; we do not own the consigned wafers or record their value in our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Products and Mainstream Products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a broad range of advanced and mainstream packaging and test services to our customers. We refer to our flip chip, wafer-level processing and related test services as “Advanced Products”, and our wirebond packaging, power device packaging and related test services as “Mainstream Products”. The following table sets forth, for the periods indicated, net sales for Advanced Products and Mainstream Products and the percentage of total net sales for each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offering. In 2021, we began reporting memory net sales under Advanced Products. Previously, memory net sales were reported in Mainstream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year amounts were reclassified to conform to current year presentation.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For the Year Ended December 31,</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2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7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2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(In millions, except percentage of net sales)</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1"/>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Products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61.2 %</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Mainstream Products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28.6 %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38.8 %</w:t>
            </w:r>
          </w:p>
        </w:tc>
      </w:tr>
      <w:tr>
        <w:trPr>
          <w:trHeight w:val="248"/>
        </w:trPr>
        <w:tc>
          <w:tcPr>
            <w:tcW w:w="2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Products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Advanced Products include flip chip chip scale packages, wafer-level packages and flip chip ball grid array (“FCBGA”) packages. These package families use flip chip interconnect technology so that the die can be connected to a substrate package carrier or, in the case of wafer-level chip scale packages, directly to a printed circuit board.</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Flip Chip Chip Scale Package (“FC CSP”) Products</w:t>
      </w:r>
      <w:r>
        <w:rPr>
          <w:rFonts w:ascii="Arial" w:cs="Arial" w:eastAsia="Arial" w:hAnsi="Arial"/>
          <w:sz w:val="16"/>
          <w:szCs w:val="16"/>
          <w:color w:val="auto"/>
        </w:rPr>
        <w:t>: FC CSP packages are small form factor packages where the substrate size is not much larger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die itself. FC CSP can be a single die or multi die format. The size advantage provided by CSP technologies has made FC CSP an attractive choice for a wide variety of applications that require very small form factors such as smartphones, tablets and other mobile consumer electronic devices.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Flip chip stacked chip scale packages (“FC SCSP”) stack a second die on top of the original flip-chip die. The top die is typically a memory device, and wirebond interconnects are used to attach the top die to the substrate. FC SCSP is frequently used to stack memory on top of digital baseband and applications processors for use in mobile devices.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drive thinner package solutions for our Package on Package (“PoP”) technology through the development of ultra-thin substrates and enhancing our pre-stacking and thin die handling capabilities.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developed fine pitch copper pillar flip chip interconnect technology, which creates interconnections at finer pitches using a plating process to reduce the number of substrate layers to facilitate very thin packages. This innovative solution is also an enabling technology for package stacking with TSVs.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FCBGA Products</w:t>
      </w:r>
      <w:r>
        <w:rPr>
          <w:rFonts w:ascii="Arial" w:cs="Arial" w:eastAsia="Arial" w:hAnsi="Arial"/>
          <w:sz w:val="18"/>
          <w:szCs w:val="18"/>
          <w:color w:val="auto"/>
        </w:rPr>
        <w:t>: FCBGA packages are large form factor substrate-based packages which are used where processing power and speed are a higher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than a small form factor. Our FCBGA packages are assembled using state-of-the-art substrates. Utilizing multiple high density routing layers, laser drilled vias, and ultra-fine line and space metallization, FCBGA substrates have the highest routing density available. The variety of FCBGA package options, from large single die to multi-chip packages with memory, allows package selection to be tailored to the specific thermal needs of the end product. We offer FCBGA packaging in a variety of product formats to fit a wide range of end application requirements, including networking, storage, computing and consumer applications.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Memory Products: </w:t>
      </w:r>
      <w:r>
        <w:rPr>
          <w:rFonts w:ascii="Arial" w:cs="Arial" w:eastAsia="Arial" w:hAnsi="Arial"/>
          <w:sz w:val="18"/>
          <w:szCs w:val="18"/>
          <w:color w:val="auto"/>
        </w:rPr>
        <w:t>Memory packages consist of either standalone packaging and testing or a combination of NAND Flash, DRAM, or a memory controller</w:t>
      </w:r>
      <w:r>
        <w:rPr>
          <w:rFonts w:ascii="Arial" w:cs="Arial" w:eastAsia="Arial" w:hAnsi="Arial"/>
          <w:sz w:val="18"/>
          <w:szCs w:val="18"/>
          <w:i w:val="1"/>
          <w:iCs w:val="1"/>
          <w:color w:val="auto"/>
        </w:rPr>
        <w:t xml:space="preserve"> </w:t>
      </w:r>
      <w:r>
        <w:rPr>
          <w:rFonts w:ascii="Arial" w:cs="Arial" w:eastAsia="Arial" w:hAnsi="Arial"/>
          <w:sz w:val="18"/>
          <w:szCs w:val="18"/>
          <w:color w:val="auto"/>
        </w:rPr>
        <w:t>IC using a variety of packaging technologies, including FC, SCSP, SiP, PoP and other state-of-the-art packaging technologies. These products are used as system memory or platform data storage in all of our end markets.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Wafer-level Package Products</w:t>
      </w:r>
      <w:r>
        <w:rPr>
          <w:rFonts w:ascii="Arial" w:cs="Arial" w:eastAsia="Arial" w:hAnsi="Arial"/>
          <w:sz w:val="18"/>
          <w:szCs w:val="18"/>
          <w:color w:val="auto"/>
        </w:rPr>
        <w:t>: We offer three types of wafer-level packages: wafer-level CSP; WLFO; and SWIFT. Wafer-level CSP and WLFO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complementary technologies. Customers can choose between the two package types as their die sizes shrink or grow.</w:t>
      </w:r>
    </w:p>
    <w:p>
      <w:pPr>
        <w:spacing w:after="0" w:line="116" w:lineRule="exact"/>
        <w:rPr>
          <w:sz w:val="20"/>
          <w:szCs w:val="20"/>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Wafer-level CSP packages (also known as fan-in wafer-level packages) do not utilize a package carrier. The bumped wafer is singulated into individual die, and the wafer-level package is then attached directly to the system board. Wafer-level CSP offers one of the lowest total system costs, enabling higher semiconductor content while leveraging the smallest form factor and one of the highest performing, most reliable semiconductor package platforms on the market today. Applications for wafer-level CSP include power management, transceivers, sensors, wireless charging, codecs, radar and specialty silicon for new or unique functionality.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WLFO packages (also known as low-density fan-out packages) are utilized for ICs where the die surface area is too small to accommodate all of the bond pads. The fan-out package enlarges the bondable surface area by building a border around the die using low-cost molding compound. Applications for WLFO packages include power management, transceivers, radar and specialty silicon.</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SWIFT, also known as high-density fan-out, can either replace the laminate substrate with a thinner structure or reduce the complexity of the substrate by housing the dense interconnects in the SWIFT structure, allowing for a less expensive substrate that provides a high level of performance with a balanced cost structure. SWIFT solutions enable high performance at a compact form factor that combines tiled processors, memory, I/O die and other peripheral ICs.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Mainstream Products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Mainstream Products include leadframe packages, substrate-based wirebond packages and micro-electro-mechanical systems (“MEMS”) packages.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package families use wirebond interconnect technology to connect a die to a leadframe or substrate package carrier.</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Leadframe Packages: </w:t>
      </w:r>
      <w:r>
        <w:rPr>
          <w:rFonts w:ascii="Arial" w:cs="Arial" w:eastAsia="Arial" w:hAnsi="Arial"/>
          <w:sz w:val="18"/>
          <w:szCs w:val="18"/>
          <w:color w:val="auto"/>
        </w:rPr>
        <w:t>Leadframe packages use wirebond or flip chip technology to connect a die to a leadframe package carrier. Leadframe packages are</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many electronic devices and remain the most practical and cost-effective solution for many low to medium pin count analog and mixed signal applications.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Traditional leadframe packages support a wide variety of device types and applications. Two of our most popular traditional leadframe package types are small outline integrated circuit and quad flat package, commonly known as “dual” and “quad” products, respectively, based upon the number of sides from which the leads extend. The traditional leadframe package family has evolved from “through hole design,” where the leads are plugged into holes on the circuit board to “surface mount design,” where the leads are soldered to the surface of the circuit board. We offer a wide range of lead counts and body sizes to satisfy variations in the size of customers’ semiconductor devices.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Through a process of continuous engineering and customization, we have designed several leadframe package types that are thinner and smaller than traditional leadframe packages and can accommodate more leads on the perimeter of the package. These leadframe packages typically have superior thermal and electrical characteristics, which allow them to dissipate heat generated by high-powered semiconductor devices while providing enhanced electrical connectivity. We are developing increasingly smaller versions of these packages to keep pace with continually shrinking semiconductor device sizes and demand for miniaturization of portable electronic products. One of our more successful leadframe package offerings is the </w:t>
      </w:r>
      <w:r>
        <w:rPr>
          <w:rFonts w:ascii="Arial" w:cs="Arial" w:eastAsia="Arial" w:hAnsi="Arial"/>
          <w:sz w:val="16"/>
          <w:szCs w:val="16"/>
          <w:i w:val="1"/>
          <w:iCs w:val="1"/>
          <w:color w:val="auto"/>
        </w:rPr>
        <w:t>Micro</w:t>
      </w:r>
      <w:r>
        <w:rPr>
          <w:rFonts w:ascii="Arial" w:cs="Arial" w:eastAsia="Arial" w:hAnsi="Arial"/>
          <w:sz w:val="16"/>
          <w:szCs w:val="16"/>
          <w:color w:val="auto"/>
        </w:rPr>
        <w:t>LeadFrame family of quad flat no lead packages. These packages offer cost effective, miniaturized solutions for multiple analog power and signal chain applications.</w:t>
      </w:r>
    </w:p>
    <w:p>
      <w:pPr>
        <w:spacing w:after="0" w:line="1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Power discrete devices use a leadframe as the package carrier and primarily use wirebond interconnect technology. However, power applications that require improved thermal and electrical performance will use packaging with copper clip interconnect technology that creates multi die power modules.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Substrate-based Wirebond Packages</w:t>
      </w:r>
      <w:r>
        <w:rPr>
          <w:rFonts w:ascii="Arial" w:cs="Arial" w:eastAsia="Arial" w:hAnsi="Arial"/>
          <w:sz w:val="18"/>
          <w:szCs w:val="18"/>
          <w:color w:val="auto"/>
        </w:rPr>
        <w:t>: Substrate-based wirebond packages use wirebond technology to connect a die to a substrate. Some of our packages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category include stacked CSP, wirebond ball grid array packages and plastic ball grid array (“PBGA”) packages.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Stacked CSP technology enables the stacking of a wide range of different semiconductor devices to deliver high levels of silicon integration and area efficiency. Stacked CSP utilizes high density thin core substrates and advanced materials, along with leading-edge wafer thinning, die attach and molding capabilities, to stack multiple die on a substrate. Stacked CSP is ideal for memory and mixed signal applications.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Wirebond ball grid array packages offer a broad selection of ball array pitches, ball counts and body sizes, single and multi-die layouts, stacked die and passive component integration together with thermal management solutions. They are applicable for a wide range of semiconductors requiring a smaller package size than conventional PBGAs or leadframe packages.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PBGA packages are used in applications requiring higher pin count than leadframe packages, but typically have lower pin counts than flip chip. PBGA packages are designed for low inductance, improved thermal operation and enhanced surface-mount technology ability. Custom performance enhancements, like ground and power planes, are also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Micro-Electro-Mechanical Systems Packages</w:t>
      </w:r>
      <w:r>
        <w:rPr>
          <w:rFonts w:ascii="Arial" w:cs="Arial" w:eastAsia="Arial" w:hAnsi="Arial"/>
          <w:sz w:val="17"/>
          <w:szCs w:val="17"/>
          <w:color w:val="auto"/>
        </w:rPr>
        <w:t>: MEMS are miniaturized mechanical and electro-mechanical devices that can sense and provide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about the physical world and sometimes trigger a response. Examples of MEMS devices include microphones, accelerometers, airbag deployment sensors, gyrometers, magnetometers and humidity, temperature and pressure sensors. We also specialize in sensor fusion products which utilize our cavity MEMS platform and combine multiple sensors into a single package. MEMS packages leverage our expertise in wafer thinning, die stacking, wirebonding and flip chip interconnect to deliver sophisticated products with a very small form factor.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System-in-Package Modules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Advanced SiP modules combine multiple semiconductor and other electronic components with different functionalities into a single package. These modules use wirebond, flip chip or wafer-level interconnect technologies. Components can include integrated circuits, passive devices (inductors, capacitors, resistors, filters and diplexers), antennas and mechanical parts.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increasing demand for miniaturization and higher functionality at competitive cost is driving the adoption of advanced SiP in new products. Advanced SiP modules are used for many applications such as radio frequency (“RF”) and front end modules, basebands, connectivity, fingerprint sensors, display and touch screen drivers, sensors and MEMS, NAND memory and solid state drives. Advanced SiP modules are found in many products including smartphones and tablets, automobiles, IoT wearables, high-performance gaming systems, computers and network systems.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2021, 2020 and 2019, we had net sales of approximately $2,280 million, $1,885 million and $1,075 million, respectively, from our advanced SiP modules, which are mostly included in Advanced Products, depending upon the interconnect technology used in the module.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 Services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Test Services complement our wafer and packaging services across our Advanced and Mainstream Products. Our test services offer customers the cycle time and cost advantages of co-located turn-key services. Our test services are used as both an interim step or as the final testing step to ensure screening and rejection of defects, performance grading and overall outgoing quality and reliability. Interim testing eliminates the manufacturing costs of assembling the defective chips. Below is a description of our test services: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Wafer Level Test: </w:t>
      </w:r>
      <w:r>
        <w:rPr>
          <w:rFonts w:ascii="Arial" w:cs="Arial" w:eastAsia="Arial" w:hAnsi="Arial"/>
          <w:sz w:val="18"/>
          <w:szCs w:val="18"/>
          <w:color w:val="auto"/>
        </w:rPr>
        <w:t>Wafer level test is a manufacturing step performed while a wafer is still in its full form and before being singulated for further package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Package Level Test: </w:t>
      </w:r>
      <w:r>
        <w:rPr>
          <w:rFonts w:ascii="Arial" w:cs="Arial" w:eastAsia="Arial" w:hAnsi="Arial"/>
          <w:sz w:val="18"/>
          <w:szCs w:val="18"/>
          <w:color w:val="auto"/>
        </w:rPr>
        <w:t>Package level test is performed on a product or products that have been assembled in a package.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System Level Test: </w:t>
      </w:r>
      <w:r>
        <w:rPr>
          <w:rFonts w:ascii="Arial" w:cs="Arial" w:eastAsia="Arial" w:hAnsi="Arial"/>
          <w:sz w:val="16"/>
          <w:szCs w:val="16"/>
          <w:color w:val="auto"/>
        </w:rPr>
        <w:t>As advanced packaging proliferates and the integration of more individual components into a SiP grows, system level testing becomes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 important. System level test identifies defective SiP products that may not otherwise be screened by traditional wafer level, package level or burn-in testing.</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Burn-In Test: </w:t>
      </w:r>
      <w:r>
        <w:rPr>
          <w:rFonts w:ascii="Arial" w:cs="Arial" w:eastAsia="Arial" w:hAnsi="Arial"/>
          <w:sz w:val="16"/>
          <w:szCs w:val="16"/>
          <w:color w:val="auto"/>
        </w:rPr>
        <w:t>Burn-in test is a process in which components of a system are exercised, monitored and measured in extreme operational conditions such as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high temperature, voltage and frequency over time. The purpose of the environmental and operational stress conditions of burn-in testing is to accelerate and screen early life failures and estimate and monitor long term wear out performance.</w:t>
      </w:r>
    </w:p>
    <w:p>
      <w:pPr>
        <w:spacing w:after="0" w:line="157" w:lineRule="exact"/>
        <w:rPr>
          <w:sz w:val="20"/>
          <w:szCs w:val="20"/>
          <w:color w:val="auto"/>
        </w:rPr>
      </w:pPr>
    </w:p>
    <w:p>
      <w:pPr>
        <w:jc w:val="both"/>
        <w:spacing w:after="0" w:line="334" w:lineRule="auto"/>
        <w:rPr>
          <w:sz w:val="20"/>
          <w:szCs w:val="20"/>
          <w:color w:val="auto"/>
        </w:rPr>
      </w:pPr>
      <w:r>
        <w:rPr>
          <w:rFonts w:ascii="Arial" w:cs="Arial" w:eastAsia="Arial" w:hAnsi="Arial"/>
          <w:sz w:val="16"/>
          <w:szCs w:val="16"/>
          <w:i w:val="1"/>
          <w:iCs w:val="1"/>
          <w:color w:val="auto"/>
        </w:rPr>
        <w:t xml:space="preserve">Test Development Services: </w:t>
      </w:r>
      <w:r>
        <w:rPr>
          <w:rFonts w:ascii="Arial" w:cs="Arial" w:eastAsia="Arial" w:hAnsi="Arial"/>
          <w:sz w:val="16"/>
          <w:szCs w:val="16"/>
          <w:color w:val="auto"/>
        </w:rPr>
        <w:t>Prior to mass production, an integrated manufacturing ready test solution must be developed and deployed. Amkor’s test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services offer both co-development and full development of complete test software and hardware solutions to our customers. These services</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also enable early engagement with our customers in the product design phases for maximum compatibility with manufacturing. Our test development teams are experienced in a full suite of test engineering disciplines for Memory, Power, RF, Mixed Signal, Analog and digital test solution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end markets that use our products and sets forth, for the periods indicated, the percentage of net sales in each end market: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r>
      <w:tr>
        <w:trPr>
          <w:trHeight w:val="152"/>
        </w:trPr>
        <w:tc>
          <w:tcPr>
            <w:tcW w:w="798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w w:val="92"/>
              </w:rPr>
              <w:t xml:space="preserve">End Market Distribution Data </w:t>
            </w:r>
            <w:r>
              <w:rPr>
                <w:rFonts w:ascii="Arial" w:cs="Arial" w:eastAsia="Arial" w:hAnsi="Arial"/>
                <w:sz w:val="16"/>
                <w:szCs w:val="16"/>
                <w:color w:val="auto"/>
                <w:w w:val="92"/>
              </w:rPr>
              <w:t>(an approximation including representative devices and applications based on a sampling</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our largest customers):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Communications (smart phones, tablets)</w:t>
            </w:r>
          </w:p>
        </w:tc>
        <w:tc>
          <w:tcPr>
            <w:tcW w:w="100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(AR &amp; gaming, connected home, home electronics, wearables)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Automotive and Industrial (ADAS, electrification, infotainment, safety)</w:t>
            </w:r>
          </w:p>
        </w:tc>
        <w:tc>
          <w:tcPr>
            <w:tcW w:w="100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Computing (datacenter, infrastructure, PC/laptops, storage)</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07"/>
        </w:trPr>
        <w:tc>
          <w:tcPr>
            <w:tcW w:w="7980" w:type="dxa"/>
            <w:vAlign w:val="bottom"/>
          </w:tcPr>
          <w:p>
            <w:pPr>
              <w:ind w:left="240"/>
              <w:spacing w:after="0"/>
              <w:rPr>
                <w:sz w:val="20"/>
                <w:szCs w:val="20"/>
                <w:color w:val="auto"/>
              </w:rPr>
            </w:pPr>
            <w:r>
              <w:rPr>
                <w:rFonts w:ascii="Arial" w:cs="Arial" w:eastAsia="Arial" w:hAnsi="Arial"/>
                <w:sz w:val="16"/>
                <w:szCs w:val="16"/>
                <w:color w:val="auto"/>
              </w:rPr>
              <w:t>Total net sales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3"/>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research efforts focus on developing new packaging solutions and test services, as well as improving the efficiency and capabilities of our existing production processes. We believe that technology development is one of the keys to success in the semiconductor packaging and test industry. By concentrating our research and development on our customers’ needs for innovative packages, increased performance and lower cost, we gain opportunities to enter markets early, successfully compete for new products and promote our new package offerings as industry leading technology.</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One of our top priorities is developing highly integrated modules such as DSMBGA packages to reduce material and processing costs and minimize form factor for wearables and 5G mobile devices. Another important focus area is the development of wafer-level packages for larger chips. These wafer-level chip-scale packages and WLFO packages are increasingly the preferred package type for many applications in IoT and mobile devices, including power management integrated circuits (“PMICs”), display drivers and antenna-in-package products. We are also developing new applications for the automotive market using existing and new package technologies as higher performance compute and sensor content are used to support new automotive features including ADAS, infotainment, optical sensors and electric vehicles.</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Another focus for development is integrated multi-die solutions, including multichip modules and high-density WLFO solutions, which enable package level integration of different types and levels of silicon technologies for high performance computing, networking and data center applications. This is accomplished by combining processors and other chiplets into one packaged module. Through die partitioning and heterogeneous die integration, these modules provide higher functionality at lower total product cost.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employees are based in Korea, the United States, Portugal and throughout other locations in Asia. At December 31, 2021, we had approximately 550 employees engaged in research and development activities. In 2021, 2020 and 2019, we incurred $166.0 million, $140.7 million and $137.6 million, respectively, of research and development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sales offices are located throughout Asia, Europe and North America. Our support personnel manage and promote our packaging and test services and provide key customer and technical support. To provide comprehensive sales and customer service, we typically assign our customers a direct support team consisting of an account manager, technical program manager, test program manager and both field and factory customer support representatives. We also support our largest multinational customers from multiple office locations to ensure that we are aligned with their global operational and business requirements.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direct support teams are further supported by an extended staff of product, process, quality and reliability engineers, as well as marketing and advertising specialists, information systems technicians and factory personnel. Together, these direct and extended support teams deliver an array of services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have generally been higher in the second half of the year than in the first half due to consumer buying patterns in the U.S., Europe and Asia and the timing of flagship mobile device launches. In addition, semiconductor companies generally reduce their production during the holidays at the end of December, which generally results in a decrease in packaging and test services during the first quarter. General economic conditions, changes in our product mix or overall demand in any of our end-markets can impact our seasonality.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2021, we had approximately 250 customers, including many of the largest semiconductor companies in the world. Our ten largest customers accounted for 63% of our net sales in 2021. Direct sales to Apple Inc., our largest customer, accounted for 13.7% of our net revenue for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materials are used primarily for packaging activities. Our packaging operations depend upon obtaining adequate supplies of materials on a timely basis. The principal materials used in our packaging process are laminate substrates, ICs, capacitors, leadframes and gold wire. The silicon wafer is generally consigned from the customer. We generally do not take ownership of the customer consigned wafer, and title and risk of loss remains with the customer for these materials. Test materials constitute a very small portion of our total test cost. Generally, we purchase materials based on Amkor’s commitments to customer forecasts, and our customers are generally responsible for any unused materials we purchase based on such commitments. Due to the Covid-19 pandemic and the resulting supply chain constraints and extended lead times, however, we have been placing an increasing number of our orders for materials in advance of customer forecasts. We believe these materials will be utilized by future orders and will allow us to fulfill orders on a timely basis.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obtain the materials required for packaging services from various suppliers. We source most of our materials, including critical materials such as leadframes, laminate substrates and gold wire, from a limited group of suppliers. We work closely with our primary material suppliers to ensure consistent quality, availability and timely delivery. We also negotiate worldwide pricing agreements with our major suppliers to take advantage of the scale of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meet the changing demand from our customers for manufacturing capacity depends upon obtaining packaging and test equipment in a timely manner. We work closely with our main equipment suppliers to coordinate the ordering and delivery of equipment to meet our expected capacity needs.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primary types of equipment used in providing our packaging services are wirebonders and die bonders. In addition, we maintain a variety of other packaging equipment, including mold, singulation, die attach, ball attach and wafer backgrind, along with numerous other types of manufacturing equipment. A substantial portion of our packaging equipment base can generally be used and adapted to support the manufacture of many of our packages, with equipment used in traditional wirebond packaging being easier to redeploy than the equipment used in advanced packaging.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purchase wafer bumping equipment to facilitate our flip chip and wafer level packaging services. Wafer bumping equipment includes sputter and spin coaters, electroplating equipment, reflow ovens and other types of equipment. This equipment tends to have longer lead times for delivery and installation than other packaging equipment and is sold in relatively larger increments of capacity.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equipment used in the testing process includes testers, handlers and probers. Handlers are used to transfer individual or small groups of packaged ICs to a tester. Test equipment is generally a more capital-intensive activity than packaging, and test equipment tends to have longer delivery lead times than most types of packaging equipment. We focus our capital expenditures on standardized tester platforms to maximize test equipment utilization where possible. For tester platforms that are less standardized, we generally lease test equipment for the expected life cycle of the project. In some cases, our customers will consign test equipment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public company with global operations, we are subject to various federal, state, local, and foreign laws, and our products and services are governed by a number of rules and regulations. These regulations, which differ among jurisdictions, include financial and other external reporting disclosure rules, accounting standards, and environmental, corporate governance, intellectual property, tax, trade, antitrust, employment, immigration and travel, privacy and anti-corruption laws. Costs and accruals incurred to comply with these governmental regulations are presently not material to our capital expenditures, results of operations and competitive position. Although there is no assurance that existing or future government laws applicable to our operations, services or products will not have a material adverse effect on our capital expenditures, results of operations and competitive position, we do not currently anticipate material expenditures for compliance with government regulations.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chemicals and materials in the semiconductor packaging process that generate byproducts such as wastewater, solid waste and flue gas. For example, water used for rinsing or cooling wafers being sawed or used in the etching or solder deposition process produces wastewater. Scrap from metal lead-frame or substrate processing or excessive molding resin produces solid waste. Emissions from solvents used for coating produce flue gases. In addition to byproducts, semiconductor packages have historically contained lead, a naturally occurring element that can be toxic. The use of lead in our packages has decreased over time due to the use of lead-free alternatives. The use and storage of chemicals and materials are subject to various laws and regulations governing waste disposal, water discharge, emissions into the atmosphere and employee health and safety. We are engaged in continuing efforts to comply with these environmental laws and regulations, including the establishment of environmental management systems, safety training for employees and installation of pollution control equipment at our factories.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future, we may be subject to changes to existing environmental regulations or new green initiatives required by our customers, investors, governments or other stakeholders. We do not believe that capital expenditures or other costs attributable to compliance with environmental laws and regulations or green initiatives will have a material adverse effect on our business, liquidity, results of operations, financial condition or cash flows.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committed to responsible environmental practices that go beyond legal requirements in conducting our business. These environmental practices include:</w:t>
      </w:r>
    </w:p>
    <w:p>
      <w:pPr>
        <w:spacing w:after="0" w:line="116" w:lineRule="exact"/>
        <w:rPr>
          <w:sz w:val="20"/>
          <w:szCs w:val="20"/>
          <w:color w:val="auto"/>
        </w:rPr>
      </w:pPr>
    </w:p>
    <w:p>
      <w:pPr>
        <w:ind w:left="340" w:hanging="332"/>
        <w:spacing w:after="0" w:line="27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 of our factories worldwide to International Organization for Standards (“ISO”) framework 14001, widely recognized as the standard for effective environmental management systems.</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Measurement and independent verification of greenhouse gases (“GHG”) generated by our factories worldwide. Once collected, our GHG data is submitted to, and disclosed publicly by, CDP, formerly known as the Carbon Disclosure Project. CDP is a leading organization that assesses the impact of climate change and promotes a sustainable economy.</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Membership in the Responsible Business Alliance (“RBA”), an international industry group dedicated to corporate social responsibility. RBA members agree to follow a uniform Code of Conduct that includes standards of environmental responsibility, and our factories have been subject to independent audits to assess compliance with these standards.</w:t>
      </w:r>
    </w:p>
    <w:p>
      <w:pPr>
        <w:spacing w:after="0" w:line="129"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investment and process optimization activities to reduce GHGs include installation of solar photovoltaic panels, replacement of, or improvements to, chiller unit systems and use of light-emitting diode (“LED”) technology.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outsourced semiconductor packaging and test market is very competitive. We face substantial competition from established packaging and test service providers primarily located in Asia, including companies with significant manufacturing capacity, financial resources, research and development operations, marketing and other capabilities. These companies include ASE Technology Holding Co., Ltd. and JCET Group Co., Ltd. In addition, we compete with electronic manufacturing service providers or contract electronics manufacturers, including Universal Scientific Industrial (Shanghai) Co., Ltd., that also provide advanced integrated device solutions. Such companies also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developed relationships with most of the world’s largest semiconductor companies, including current or potential customers of Amkor.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compete with the internal semiconductor packaging and test capabilities of many of our customers. Our IDM customers continually evaluate the attractiveness of outsourced services against their own in-house packaging and test services and at times may decide to shift some or all of their outsourced packaging and test services to internally sourced capacity. We also compete with contract foundries, such as Taiwan Semiconductor Manufacturing Company Limited and Samsung Electronics Co., Ltd., which offer full turnkey services from silicon wafer fabrication through packaging and final test. In addition, we compete with companies that offer test-only services.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elements of competition in the outsourced semiconductor packaging and test services market include price, available capacity, flexibility, quality, customer service and support, new product introduction experience, cycle time, reputation and reliability, customer satisfaction, technological expertise and innovation, breadth of packaging and test services offered, including turnkey services, and the ability to invest in capacity, geographic location and scale of manufacturing. We believe that we compete favorably with respect to each of these elements.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an active program to protect and derive value from our investment in technology and the associated intellectual property rights. Intellectual property rights that apply to our various products and services include patents, copyrights, trade secrets and trademarks. We have filed and obtained a number of patents in the U.S. and abroad, and their durations vary depending on the jurisdiction in which each patent is filed. Although our patents are an important element of our intellectual property strategy, we are not materially dependent on any one patent or any one technology. We expect to continue to file patent applications when appropriate to protect our proprietary technologies, but we cannot assure you that we will receive patents from pending or future applications. In addition, any patents we obtain may be challenged, invalidated or circumvented and may not provide meaningful protection or other commercial advantage to us.</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protect and maintain the confidentiality of certain information about our processes, products and strategies which we believe provides us with a competitive advantage. We have ongoing programs designed to maintain the confidentiality of such information. As part of these efforts, all employees who have access to Amkor’s information systems are required to participate in cybersecurity training within the first 15 days of employment, after which recurring mandatory training is required on an annual basis. Further, to distinguish our products from our competitors’ products, we have obtained certain trademarks and service marks and may promote our particular brands through advertising and other marketing techniques.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Amkor employed 30,400 regular full-time employees, of whom approximately 97%, 2% and 1% resided in the Asia-Pacific region, Europe and North America, respectively. Our global workforce spans 11 countries, reflecting various cultures, backgrounds, ages, genders and ethnicities. Of our global employee base, 93% are employed in manufacturing roles. Our employees in the Philippines, Singapore, Taiwan and the U.S. are not represented by any union. Certain employees at our factories in China, Japan, Korea, Malaysia and Portugal are members of a union, and we operate subject to collective bargaining agreements that we have entered into with these unions. We believe that our relations with our employees are good, and we have not experienced a work stoppage in any of our factories.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Amkor believes that its future success is highly dependent upon our continued ability to attract, retain and motivate qualified employees. As part of our effort to attract and motivate employees, Amkor is committed to providing competitive and comprehensive benefits that are designed to enable our employees and their families to live healthier and more secure lives. Additionally, Amkor has implemented various retention programs to incentivize and retain high-performing employees. Factory locations also maintain training and development programs that enable the continued learning and growth of our employees, and senior management regularly meets to share and implement best practices among our various facilities. We believe that our efforts to motivate and retain qualified employees is reflected in the long average tenure of our key employees. Additionally, we strive to promote our management-level employees from within Amkor and believe that we have been successful in this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health and safety of our employees is very important to us and, accordingly, we endeavor to provide comprehensive health benefits to our full-time employees. Our focus on health and safety is further evident in our response to the Covid-19 pandemic around the globe. Because our business involves the manufacturing and testing of physical products, many of our employees are unable to work from home. In an effort to keep our employees safe and to maintain operations during the Covid-19 pandemic, we implemented increased health and safety-related measures across our global footprint.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Amkor files annual, quarterly and current reports, proxy statements and other information with the U.S. Securities and Exchange Commission (the “SEC”). The SEC maintains a website that contains annual, quarterly and current reports, proxy statements and other information that issuers (including Amkor) file electronically with the SEC. The SEC’s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Amkor’s website is </w:t>
      </w:r>
      <w:r>
        <w:rPr>
          <w:rFonts w:ascii="Arial" w:cs="Arial" w:eastAsia="Arial" w:hAnsi="Arial"/>
          <w:sz w:val="18"/>
          <w:szCs w:val="18"/>
          <w:i w:val="1"/>
          <w:iCs w:val="1"/>
          <w:color w:val="auto"/>
        </w:rPr>
        <w:t>www.amkor.com.</w:t>
      </w:r>
      <w:r>
        <w:rPr>
          <w:rFonts w:ascii="Arial" w:cs="Arial" w:eastAsia="Arial" w:hAnsi="Arial"/>
          <w:sz w:val="18"/>
          <w:szCs w:val="18"/>
          <w:color w:val="auto"/>
        </w:rPr>
        <w:t xml:space="preserve"> Amkor makes available, free of charge, through its website: our annual reports on Form 10-K; quarterly reports on Form 10-Q; current reports on Form 8-K; Forms 3, 4 and 5 filed on behalf of directors and executive officers; and any amendments to those reports filed or furnished pursuant to the Securities Exchange Act of 1934, as amended (the “Exchange Act”), as soon as reasonably practicable after such material is electronically filed with, or furnished to, the SEC. We also make available, free of charge, through our website, our Corporate Governance Guidelines, the charters of the Audit Committee, Nominating and Governance Committee and Compensation Committee of our Board of Directors, our Code of Business Conduct, our Code of Ethics for Directors and other information and materials. The information on Amkor’s website is not incorporated by reference into this Form 10-K.</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Form 10-K. For more information, see the Forward Looking Statements within this Form 10-K. You should carefully consider the risks and uncertainties described below, together with all of the other information included in this Form 10-K, in considering our business and prospects. Many of the following risks and uncertainties have been, and may continue to be, exacerbated by the Covid-19 pandemic and any worsening of the global business and economic environment as a result.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3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 investment in our common stock involves various risks, and you are urged to carefully consider all of the matters discussed in Part I, Item 1A of this Form 10-K under the caption “Risk Factors” (in addition to those discussed under this “Summary of Risk Factors” section) in considering our business and prospects. The following is a list of some of these risks: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the cyclical and volatile semiconductor industry and vulnerability to industry downturns and declines in global economic and financial conditions;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operating results and cash flows;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130"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with established competitors in the packaging and test business, the internal capabilities of IDMs, and new competitors, including foundries;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investments in equipment and facilities to support the demand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achieving the relatively high capacity utilization rates necessary to realize satisfactory gross margins given our high percentage of fixed costs;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absence of backlog and the short-term nature of our customers’ commitments;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historical downward pressure on the prices of our packaging and test services;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107"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warranty claims, product return and liability risks, and the risk of negative publicity if our products fail, as well as the risk of litigation incident to our business;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restrictive covenants in the indentures and agreements governing our current and future indebtedness;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we may decrease or suspend our quarterly dividend;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severance plan obligations associated with our manufacturing operations in Korea;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of certain of our stockholders to effectively determine or substantially influence the outcome of matters requiring stockholder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conditions or pandemics, such as the Covid-19 pandemic, impacting labor availability and operating capacity, capital availability, the supply chain and consumer demand for our customers’ products and services;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interest rates and changes in credit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funding our liquidity needs;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attracting, retaining or replacing qualified personnel;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continuing development and implementation of changes to, and maintenance and security of, our information technology systems;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with integrating diverse operations;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107" w:lineRule="exact"/>
        <w:rPr>
          <w:rFonts w:ascii="Arial" w:cs="Arial" w:eastAsia="Arial" w:hAnsi="Arial"/>
          <w:sz w:val="18"/>
          <w:szCs w:val="18"/>
          <w:color w:val="auto"/>
        </w:rPr>
      </w:pPr>
    </w:p>
    <w:p>
      <w:pPr>
        <w:jc w:val="both"/>
        <w:ind w:left="660" w:hanging="328"/>
        <w:spacing w:after="0" w:line="22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other governments, such as tariffs, customs, duties, other restrictive trade barriers and national security, data privacy and cybersecurity, antitrust and competition, tax, currency and banking, labor and environmental, health and safety laws; and</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and other calamities, health conditions or pandemics, political instability, hostilities or other disruptions.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markets in which we compete experience slower, or even negative growth, our business and results of operations may be materially and adversely affected.</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declines in global economic and financial conditions have harmed our business in the past, and future global downturns could materially and adversely affect our business. The Covid-19 pandemic and the effects of governmental initiatives to control the pandemic have adversely affected, and may continue to adversely affect, the economies and financial markets of many countries. Although the magnitude of any potential future impact of the Covid-19 pandemic on our business and operations remains uncertain, the continued spread, new variants or potential re-emergence of the Covid-19 pandemic or the occurrence of other epidemics or pandemics, and the imposition of related public health measures and travel and business restrictions may materially and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It is difficult to predict the timing, strength or duration of any economic slowdown caused by the Covid-19 pandemic, or which end markets will experience a slowdown, or subsequent economic recovery, which, in turn, makes it more challenging for us to forecast our operating results, make business decisions and identify risks that may materially affect our business, sources and uses of cash, financial condition and results of operations. Additionally, if industry conditions deteriorate, we could suffer significant losses, as we have in the past, that could materially and adversely impact our business, liquidity, results of operations, financial condition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the cost, quality or supply of materials or equipment changes adversely.</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and the Covid-19 pandemic has created extended lead times for some materials and equipment. To the extent the impact of the Covid-19 pandemic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impacted the supply of specialty chemicals, substrates, silicon wafers, equipment and other supplies to the electronics industry.</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price sufficiently to recover inflationary price increases in materials or supplies.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customers may move their business to other suppliers, and our reputation and business could be materially and adversely affected.</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cash flows have varied and may vary significantly as a result of factors that we cannot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92" w:lineRule="exact"/>
        <w:rPr>
          <w:sz w:val="20"/>
          <w:szCs w:val="20"/>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cost, quality, availability and delivery times of raw materials, components, equipment and labor;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and increasing our share of the automotive and industrial end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 including 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and debt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 conflicts and government shutdowns, civil disturbances or international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or natural disasters such as earthquakes, typhoons and volcanic eruptions;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interest rates and currency exchange rates, including the potential impact of the phase-out of the London Interbank Offered Rate (“LIBOR”) on our variable rate debt;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factories and operations in various foreign jurisdictions and many of our customers’ and vendors’ operations are also located outside of the U.S.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packaging and test services through our factories and other operations located in China, Japan, Korea, Malaysia, the Philippines, Portugal, Singapore and Taiwan. Additionally, we recently announced that we plan to expand our operations into Vietnam.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3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and safety concerns, including widespread outbreak of infectious diseases, such as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consumer demand resulting from current or expected inflation or other variations in local economies;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in areas such as data privacy, cybersecurity, antitrust and competition, tax, currency and banking, labor, and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payment of dividends and other payments by non-U.S. subsidiaries may be subject to prohibitions, limitations or taxes in local jurisdictions;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U.S. dollar to Japanese yen exchange rate for our operations in Japan;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 including military conflicts;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other jurisdictions;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Covid-19 pandemic has impacted, and may continue to impact, our operations and the operations of our customers and suppliers as a result of illness, quarantines, facility closures and travel and logistics restrictions in connection with the outbreak. For example, quarantine orders and orders restricting movement have affected, and may in the future affect, our operations in the Philippines and Malaysia. Other national, regional and local governments have implemented, and may continue to implement, similar restrictions to mitigate the spread of Covid-19, the emergence of new variants or the potential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financial condition.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against established competitors in the packaging and test business as well as internal capabilities of IDMs and face competition from new competitors, including foundries.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 of the large semiconductor companies that are our current or potential customers, or key suppliers to these customers. Consolidation among our competitors could also strengthen their competitive position.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reduced if the customer also engages that foundry for related packaging and test services.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Due to our high percentage of fixed costs, we may be unable to maintain satisfactory gross margins if we are unable to achieve relatively high capacity utilization rates.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able to achieve consistently high-capacity utilization, and if we fail to do so, our gross margins may be negatively impacted.</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contractually committed customer demand may materially and adversely affect our sales.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while we generally purchase materials based on Amkor’s commitments to customer forecasts, and our customers are generally responsible for any unused materials we purchase based on such commitments, due to the Covid-19 pandemic and the resulting supply chain constraints and extended lead times, we have been placing an increasing number of our orders for materials in advance of customer forecasts. If we are unable to timely fulfill our customers’ orders, or if we are required to bear the cost of a substantial amount of unused materials, our margins, operating results, financial condition and cash flows could be materially and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Historically, there has been downward pressure on the prices of our packaging and test services.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to qualify new processes,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us meaningful protection or other commercial advantage.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3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10-K on our results of operations, financial condition and cash flows could change in the future.</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may be exposed to warranty claims, product return and liability risks, the risk of economic damage claims and the risk of negative publicity if our packages fail.</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the indentures and agreements governing our current and future indebtedness could restrict our operating flexibility.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decrease or suspend our quarterly dividend, and any decrease in or suspension of the dividend could cause our stock price to decline.</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October 2020, we have paid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subsidiary in Korea maintains an unfunded severance plan under which we have an accrued liability of $73.2 million as of December 31, 2021.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the defined contribution plan. Some employees have accepted previous offers, and future offers to make similar conversions could impact the timing of future payments, reducing our cash flow and affecting our financial condition.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2021, Mr. James J. Kim, the Executive Chairman of our Board of Directors, Ms. Susan Y. Kim, the Executive Vice Chairman of our Board of Directors, and members of the Kim family and affiliates owned approximately 141.9 million shares, or approximately 58%, of our outstanding common stock. The Kim family also has options to acquire approximately 0.6 million shares. If the options are exercised, the Kim family’s total ownership would be an aggregate of approximately 142.5 million shares of our outstanding common stock or approximately 58% of our outstanding common stock.</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 Covid-19 pandemic has impacted, and may continue to impact, the supply chain and consumer demand for our customers’ products and services, and the continued impact on the supply chain and consumer demand may ultimately have a material and adverse effect on our business, results of operations, and financial condition.</w:t>
      </w:r>
    </w:p>
    <w:p>
      <w:pPr>
        <w:spacing w:after="0" w:line="1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has been and may continue to be adversely impacted by the effects of the Covid-19 pandemic. The impacts have varied, and likely will continue to vary, by location, by industry and by end market. We, our suppliers and our customers have been and may continue to be disrupted by worker illness and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the Covid-19 pandemic on our suppliers or customers or both.</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the Covid-19 pandemic, and our ability to perform critical functions could be harmed. While certain governments have started to relax Covid-19-related restrictions and many countries are offering Covid-19 vaccines to their residents, vaccination rates remain low in many areas and there remains uncertainty around the impact of new variants or resurgences of Covid-19, when remaining restrictions will be lifted, if additional restrictions may be initiated, the timing of distribution and administration of the vaccines globally and when or if normal economic activity and business operations will resume.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are unable to predict the future impacts that the Covid-19 pandemic will have on our business, financial condition or results of operations due to various uncertainties, including the duration of the outbreak and the actions that may be taken by governmental authorities and other businesses in response to the Covid-19 pandemic.</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substantial indebtedness could have a material adverse effect on our financial condition and prevent us from fulfilling our obligations.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substantial amount of debt, and the terms of the agreements governing our indebtedness allow us and our subsidiaries to incur more debt, subject to certain limitations. As of December 31, 2021, our total debt balance was $1,138.0 million, of which $153.0 million was classified as a current liability and $533.3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along with the financial and other covenants in our indebtedness, our ability to borrow additional funds;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Servicing our current and future customers requires that we incur significant operating expenses and continue to make significant capital expenditures and other investments, and the amount of our capital expenditures for 2022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any increase in interest rates or adverse economic, political, public health or other global conditions, could also make it difficult or more expensive for us to maintain our existing credit facilities or refinance our debt.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63% of our net sales for the year ended December 31, 2021. In addition, we have significant customer concentration within our end markets. The loss of a significant customer, a business combination among our customers, a reduction in orders or a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demand for our services from each customer is directly dependent upon that customer’s financial health, level of business activity and purchasing decisions, the quality and price of our services, our cycle time and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as seen in the automotive end market in 2020,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breaches could result in unauthorized disclosure of confidential information or disruptions to our operations. While we have not experienced a material information security breach in the past,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our Japan operations’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challenges as we integrate diverse operations.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the assimilation of acquired operations, technologies or products;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costs associated with personnel reductions and voluntary retirement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record restructuring charges to cover costs associated with facility consolidations and related cost reduction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new proposals including establishing a global minimum corporate income tax (tested on a jurisdictional basis). Changes in U.S. or foreign tax laws, including new or modified guidance with respect to existing tax laws, could have a material adverse impact on our liquidity, results of operations, financial condition and cash flows.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and adversely affect our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and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Singapore and Taiwan, and we have announced our intention to expand our operations to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armed conflict, terrorist incidents and other hostilities in regions where we have facilities; and industrial accidents and other events, that could disrupt or even shutdown our operations. While our global manufacturing footprint allows us to shift production to other factories without substantial cost or production delays, certain of our services are currently performed using equipment located in one or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location and size of our manufacturing and research and development facilities are set forth in the table below. All facilities are owned unless otherwise specified. Generally, our facilities are collateral for indebtedness incurred by our subsidiary for the jurisdiction in which the facilities are located.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Approximate Facility Size</w:t>
            </w:r>
          </w:p>
        </w:tc>
        <w:tc>
          <w:tcPr>
            <w:tcW w:w="1520" w:type="dxa"/>
            <w:vAlign w:val="bottom"/>
          </w:tcPr>
          <w:p>
            <w:pPr>
              <w:spacing w:after="0"/>
              <w:rPr>
                <w:sz w:val="14"/>
                <w:szCs w:val="14"/>
                <w:color w:val="auto"/>
              </w:rPr>
            </w:pPr>
          </w:p>
        </w:tc>
      </w:tr>
      <w:tr>
        <w:trPr>
          <w:trHeight w:val="188"/>
        </w:trPr>
        <w:tc>
          <w:tcPr>
            <w:tcW w:w="64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(Square Feet)</w:t>
            </w:r>
          </w:p>
        </w:tc>
        <w:tc>
          <w:tcPr>
            <w:tcW w:w="1520" w:type="dxa"/>
            <w:vAlign w:val="bottom"/>
            <w:tcBorders>
              <w:bottom w:val="single" w:sz="8" w:color="auto"/>
            </w:tcBorders>
          </w:tcPr>
          <w:p>
            <w:pPr>
              <w:spacing w:after="0"/>
              <w:rPr>
                <w:sz w:val="16"/>
                <w:szCs w:val="16"/>
                <w:color w:val="auto"/>
              </w:rPr>
            </w:pPr>
          </w:p>
        </w:tc>
      </w:tr>
      <w:tr>
        <w:trPr>
          <w:trHeight w:val="211"/>
        </w:trPr>
        <w:tc>
          <w:tcPr>
            <w:tcW w:w="6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1"/>
              <w:spacing w:after="0"/>
              <w:rPr>
                <w:sz w:val="20"/>
                <w:szCs w:val="20"/>
                <w:color w:val="auto"/>
              </w:rPr>
            </w:pPr>
            <w:r>
              <w:rPr>
                <w:rFonts w:ascii="Arial" w:cs="Arial" w:eastAsia="Arial" w:hAnsi="Arial"/>
                <w:sz w:val="16"/>
                <w:szCs w:val="16"/>
                <w:b w:val="1"/>
                <w:bCs w:val="1"/>
                <w:color w:val="auto"/>
              </w:rPr>
              <w:t>Owned</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Leased</w:t>
            </w:r>
          </w:p>
        </w:tc>
        <w:tc>
          <w:tcPr>
            <w:tcW w:w="1520" w:type="dxa"/>
            <w:vAlign w:val="bottom"/>
            <w:shd w:val="clear" w:color="auto" w:fill="CCEEFF"/>
          </w:tcPr>
          <w:p>
            <w:pPr>
              <w:jc w:val="right"/>
              <w:ind w:right="731"/>
              <w:spacing w:after="0"/>
              <w:rPr>
                <w:sz w:val="20"/>
                <w:szCs w:val="20"/>
                <w:color w:val="auto"/>
              </w:rPr>
            </w:pPr>
            <w:r>
              <w:rPr>
                <w:rFonts w:ascii="Arial" w:cs="Arial" w:eastAsia="Arial" w:hAnsi="Arial"/>
                <w:sz w:val="16"/>
                <w:szCs w:val="16"/>
                <w:b w:val="1"/>
                <w:bCs w:val="1"/>
                <w:color w:val="auto"/>
              </w:rPr>
              <w:t>Total</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China (1)</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1,347,000</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1,347,000</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1,817,000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Korea</w:t>
            </w:r>
          </w:p>
        </w:tc>
        <w:tc>
          <w:tcPr>
            <w:tcW w:w="1520" w:type="dxa"/>
            <w:vAlign w:val="bottom"/>
          </w:tcPr>
          <w:p>
            <w:pPr>
              <w:jc w:val="right"/>
              <w:spacing w:after="0"/>
              <w:rPr>
                <w:sz w:val="20"/>
                <w:szCs w:val="20"/>
                <w:color w:val="auto"/>
              </w:rPr>
            </w:pPr>
            <w:r>
              <w:rPr>
                <w:rFonts w:ascii="Arial" w:cs="Arial" w:eastAsia="Arial" w:hAnsi="Arial"/>
                <w:sz w:val="18"/>
                <w:szCs w:val="18"/>
                <w:color w:val="auto"/>
              </w:rPr>
              <w:t>4,419,000</w:t>
            </w: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4,419,000</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Malaysia (1)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Philippines (2)</w:t>
            </w:r>
          </w:p>
        </w:tc>
        <w:tc>
          <w:tcPr>
            <w:tcW w:w="1520" w:type="dxa"/>
            <w:vAlign w:val="bottom"/>
          </w:tcPr>
          <w:p>
            <w:pPr>
              <w:jc w:val="right"/>
              <w:spacing w:after="0"/>
              <w:rPr>
                <w:sz w:val="20"/>
                <w:szCs w:val="20"/>
                <w:color w:val="auto"/>
              </w:rPr>
            </w:pPr>
            <w:r>
              <w:rPr>
                <w:rFonts w:ascii="Arial" w:cs="Arial" w:eastAsia="Arial" w:hAnsi="Arial"/>
                <w:sz w:val="18"/>
                <w:szCs w:val="18"/>
                <w:color w:val="auto"/>
              </w:rPr>
              <w:t>765,000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557,000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1,322,000</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Portugal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Taiwan (1)</w:t>
            </w:r>
          </w:p>
        </w:tc>
        <w:tc>
          <w:tcPr>
            <w:tcW w:w="1520" w:type="dxa"/>
            <w:vAlign w:val="bottom"/>
          </w:tcPr>
          <w:p>
            <w:pPr>
              <w:jc w:val="right"/>
              <w:spacing w:after="0"/>
              <w:rPr>
                <w:sz w:val="20"/>
                <w:szCs w:val="20"/>
                <w:color w:val="auto"/>
              </w:rPr>
            </w:pPr>
            <w:r>
              <w:rPr>
                <w:rFonts w:ascii="Arial" w:cs="Arial" w:eastAsia="Arial" w:hAnsi="Arial"/>
                <w:sz w:val="18"/>
                <w:szCs w:val="18"/>
                <w:color w:val="auto"/>
              </w:rPr>
              <w:t>1,098,000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1,114,000</w:t>
            </w:r>
          </w:p>
        </w:tc>
      </w:tr>
      <w:tr>
        <w:trPr>
          <w:trHeight w:val="248"/>
        </w:trPr>
        <w:tc>
          <w:tcPr>
            <w:tcW w:w="6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all facilities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10,924,000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740" w:hanging="40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Land is leased.</w:t>
      </w:r>
    </w:p>
    <w:p>
      <w:pPr>
        <w:spacing w:after="0" w:line="171" w:lineRule="exact"/>
        <w:rPr>
          <w:rFonts w:ascii="Arial" w:cs="Arial" w:eastAsia="Arial" w:hAnsi="Arial"/>
          <w:sz w:val="18"/>
          <w:szCs w:val="18"/>
          <w:color w:val="auto"/>
        </w:rPr>
      </w:pPr>
    </w:p>
    <w:p>
      <w:pPr>
        <w:ind w:left="740" w:hanging="408"/>
        <w:spacing w:after="0" w:line="277" w:lineRule="auto"/>
        <w:tabs>
          <w:tab w:leader="none" w:pos="7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foreign ownership restrictions in the Philippines, the land is leased. A portion of the land we lease is owned by realty companies in which we own a 40% interest.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2021, we signed a land lease for a new manufacturing facility in Bac Ninh, Vietnam. We anticipate beginning construction of the new facility during 2022.</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executive offices, which are leased, are located in Tempe, Arizona and Singapore. We believe that our existing properties are in good condition and suitable for the conduct of our business and that the productive capacity of such properties is substantially being utilized or we have plans to utilize it.</w:t>
      </w:r>
    </w:p>
    <w:p>
      <w:pPr>
        <w:spacing w:after="0" w:line="1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may become involved in various disputes and litigation matters that arise in the ordinary course of our business. These include disputes and lawsuits related to intellectual property, acquisitions, licensing, contracts, tax, regulatory compliance, employee relations and other matters. For a discussion of our material legal proceedings, see Note 17 to our Consolidated Financial Statements in Part II, Item 8 of this Form 10-K.</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“AMKR.” There were approximately 120 holders of record of our common stock as of February 11,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October 2020, our Board of Directors approved the initiation of a regular quarterly cash dividend on our common stock. Each quarter since the adoption of this dividend policy, the Company has declared and paid a quarterly dividend. In November 2021, our Board of Directors approved a quarterly dividend of $0.05 per share, representing a 25% increase.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 Refer to the “Liquidity” section in Item 7 of this Form 10-K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regarding equity compensation plans is set forth in Part III, Item 12 of this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December 31, 2021:</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9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 Number of Shares</w:t>
            </w:r>
          </w:p>
        </w:tc>
        <w:tc>
          <w:tcPr>
            <w:tcW w:w="1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 Per Share</w:t>
            </w: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200" w:type="dxa"/>
            <w:vAlign w:val="bottom"/>
          </w:tcPr>
          <w:p>
            <w:pPr>
              <w:spacing w:after="0"/>
              <w:rPr>
                <w:sz w:val="11"/>
                <w:szCs w:val="11"/>
                <w:color w:val="auto"/>
              </w:rPr>
            </w:pPr>
          </w:p>
        </w:tc>
        <w:tc>
          <w:tcPr>
            <w:tcW w:w="176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38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Period</w:t>
            </w:r>
          </w:p>
        </w:tc>
        <w:tc>
          <w:tcPr>
            <w:tcW w:w="1960" w:type="dxa"/>
            <w:vAlign w:val="bottom"/>
            <w:vMerge w:val="continue"/>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Announced Plans or Programs</w:t>
            </w:r>
          </w:p>
        </w:tc>
        <w:tc>
          <w:tcPr>
            <w:tcW w:w="1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88"/>
        </w:trPr>
        <w:tc>
          <w:tcPr>
            <w:tcW w:w="338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Purchased (a)</w:t>
            </w: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51"/>
        </w:trPr>
        <w:tc>
          <w:tcPr>
            <w:tcW w:w="3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 October 31</w:t>
            </w:r>
          </w:p>
        </w:tc>
        <w:tc>
          <w:tcPr>
            <w:tcW w:w="246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 $</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November 1 - November 30</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ind w:left="1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December 31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96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3"/>
        </w:trPr>
        <w:tc>
          <w:tcPr>
            <w:tcW w:w="3380" w:type="dxa"/>
            <w:vAlign w:val="bottom"/>
          </w:tcPr>
          <w:p>
            <w:pPr>
              <w:ind w:left="2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9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line="277" w:lineRule="auto"/>
        <w:tabs>
          <w:tab w:leader="none" w:pos="6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share-based compensation awards issued to employees.</w:t>
      </w:r>
    </w:p>
    <w:p>
      <w:pPr>
        <w:spacing w:after="0" w:line="197" w:lineRule="exact"/>
        <w:rPr>
          <w:rFonts w:ascii="Arial" w:cs="Arial" w:eastAsia="Arial" w:hAnsi="Arial"/>
          <w:sz w:val="18"/>
          <w:szCs w:val="18"/>
          <w:color w:val="auto"/>
        </w:rPr>
      </w:pPr>
    </w:p>
    <w:p>
      <w:pPr>
        <w:jc w:val="both"/>
        <w:ind w:left="660" w:hanging="328"/>
        <w:spacing w:after="0" w:line="272" w:lineRule="auto"/>
        <w:tabs>
          <w:tab w:leader="none" w:pos="6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August 30, 2011, we announced that our Board of Directors had authorized the repurchase of up to $150.0 million of our common stock, exclusive of any fees, commissions or other expenses, under the Stock Repurchase Program. On February 1, 2012, we announced that the Board of Directors had authorized an additional $150.0 million for the repurchase of our common stock under the Stock Repurchase Program, resulting in a total repurchase authorization under the Stock Repurchase Program of $300.0 million. Pursuant to the Stock Repurchase Program, we made no common stock purchases for the three months ended December 31, 2021, and at December 31, 2021, approximately $91.6 million was available for repurchase. Repurchases of our common stock under the Stock Repurchase Program are funded with available cash, and the Stock Repurchase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23"/>
          <w:szCs w:val="23"/>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-16510</wp:posOffset>
            </wp:positionV>
            <wp:extent cx="5443220" cy="4920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43220" cy="492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340" w:hanging="332"/>
        <w:spacing w:after="0" w:line="259"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preceding Stock Performance Graph is not deemed filed with the SEC and shall not be incorporated by reference in any of our filings under the Securities Act of 1933, as amended, or the Exchange Act, whether made before or after the date hereof and irrespective of any general incorporation language in any such filing. The stock performance shown on the performance graph above is not necessarily indicative of future performance. We will not make or endorse any predictions as to Amkor’s future stock performance.</w:t>
      </w:r>
    </w:p>
    <w:p>
      <w:pPr>
        <w:spacing w:after="0" w:line="78"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added the S&amp;P MidCap 400 index to the performance graph above because we believe that the companies included in that index are most closely aligned with Amkor’s market capitalization.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cumulative total returns included in the preceding Stock Performance Graph for the years ended December 31, 2016 through 2021:</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3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Amkor Technology, Inc.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237.26</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S&amp;P 500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116.49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233.41</w:t>
            </w: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PHLX Semiconductor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473.22</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S&amp;P Midcap 400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103.36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184.96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&lt;Reserved&gt;</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Management’s Discussion and Analysis of Financial Condition and Results of Operations</w:t>
      </w:r>
    </w:p>
    <w:p>
      <w:pPr>
        <w:spacing w:after="0" w:line="218" w:lineRule="exact"/>
        <w:rPr>
          <w:sz w:val="20"/>
          <w:szCs w:val="20"/>
          <w:color w:val="auto"/>
        </w:rPr>
      </w:pPr>
    </w:p>
    <w:p>
      <w:pPr>
        <w:sectPr>
          <w:pgSz w:w="11900" w:h="16838" w:orient="portrait"/>
          <w:cols w:equalWidth="0" w:num="2">
            <w:col w:w="540" w:space="180"/>
            <w:col w:w="10520"/>
          </w:cols>
          <w:pgMar w:left="320" w:top="121" w:right="339" w:bottom="1440" w:gutter="0" w:footer="0" w:header="0"/>
          <w:type w:val="continuous"/>
        </w:sectPr>
      </w:pP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section includes comparisons of certain 2021 financial information to the same information for 2020. For discussion of 2020 results in comparison with 2019 results refer to “Management’s Discussion and Analysis of Financial Conditions and Results of Operations” in our Annual Report on Form 10-K filed with the SEC on February 19,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optimizing utilization of existing assets, broadening our customer base and selectively growing our scale and scope through strategic investments.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industry leader in developing and commercializing advanced packaging and test technologies. We believe these advanced technology solutions provide substantial value to our customers, particularly in the mobile communications market, where growth generally outpaces the overall semiconductor industry.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look for opportunities in the advanced packaging and test areas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and industrial end market where semiconductor content continues to grow and in the analog area for our mainstream wirebond technologies.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identify attractive opportunities to grow our customer base and expand the markets we serve through expansion of our operations, joint ventures, acquisitions and other strategic investments. For example, we have recently announced plans to expand our operations to Vietnam through the construction of a new factory. We believe that taking advantage of these opportunities helps to diversify our revenue streams, improve our profits, broaden our portfolio of services and maintain our technological leadership.</w:t>
      </w:r>
    </w:p>
    <w:p>
      <w:pPr>
        <w:spacing w:after="0" w:line="2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or subsequent economic recovery.</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full potential effect of the ongoing Covid-19 pandemic is unknown, and there remains uncertainty related to the ultimate impact that the Covid-19 pandemic will have on the global economy, the semiconductor industry and our business, results of operations and financial condition. While our revenue increased significantly in the year ended December 31, 2021, and we were able to successfully ramp new products during the year, we are subject to industry-wide supply constraints, and these constraints had an effect of restraining growth in some of the end markets we serve. We expect these constraints to persist throughout 2022. For additional information regarding the potential impact of macroeconomic factors, the Covid-19 pandemic and other risks on our business, results of operations and financial condition, please refer to the “Risk Factors” section in Part I, Item 1A of this Form 10-K.</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December 31, 2021, we had cash and cash equivalents and short-term investments of $826.7 million and $251.5 million, respectively.</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Part 1, Item 1A of this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Financial Summary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increased $1,087.7 million or 21.5% to $6,138.3 million in 2021 from $5,050.6 million in 2020. The increase was attributable to higher sales in all end markets led by the further adoption of 5G smartphones in the communications end market.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 increased to 20.0% in 2021 compared to 17.8% in 2020. The increase in gross margin was primarily due to the increase in volume across all of our end markets.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margin expanded 330 basis points to 12.4% in 2021 from 9.1% in 2020. The increase in our operating income margin was primarily due to our increase in net sales and expansion in gross margin discussed above along with disciplined cost control.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2021, our capital expenditures totaled $779.8 million, or 12.7% of net sales compared to $553.0 million, or 10.9% of net sales in 2020. Our spending was primarily focused on investments in advanced packaging and test equipment.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was $1,121.3 million for the year ended December 31, 2021, compared to $770.0 million for the year ended December 31, 2020. This increase was primarily due to higher net sales, higher operating profit and an increase in contract liabilities due to customer advance payments. This increase was offset by changes in working capital.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2021, our Board of Directors approved a quarterly dividend of $0.05 per share, a 25% increase. In 2021, we paid total quarterly cash dividends of $51.2 million.</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November 2021, we announced our plans for a new factory location in Bac Ninh, Vietnam. Construction of the first phase is expected to commence in 2022, and high volume manufacturing is expected to begin in mid-2023. Our initial investment is expected to be between $200 million and $250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136"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r>
      <w:tr>
        <w:trPr>
          <w:trHeight w:val="211"/>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100.0 %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7200" w:type="dxa"/>
            <w:vAlign w:val="bottom"/>
            <w:gridSpan w:val="2"/>
          </w:tcPr>
          <w:p>
            <w:pPr>
              <w:ind w:left="20"/>
              <w:spacing w:after="0"/>
              <w:rPr>
                <w:sz w:val="20"/>
                <w:szCs w:val="20"/>
                <w:color w:val="auto"/>
              </w:rPr>
            </w:pPr>
            <w:r>
              <w:rPr>
                <w:rFonts w:ascii="Arial" w:cs="Arial" w:eastAsia="Arial" w:hAnsi="Arial"/>
                <w:sz w:val="16"/>
                <w:szCs w:val="16"/>
                <w:color w:val="auto"/>
              </w:rPr>
              <w:t>Materials</w:t>
            </w:r>
          </w:p>
        </w:tc>
        <w:tc>
          <w:tcPr>
            <w:tcW w:w="620" w:type="dxa"/>
            <w:vAlign w:val="bottom"/>
          </w:tcPr>
          <w:p>
            <w:pPr>
              <w:jc w:val="right"/>
              <w:spacing w:after="0"/>
              <w:rPr>
                <w:sz w:val="20"/>
                <w:szCs w:val="20"/>
                <w:color w:val="auto"/>
              </w:rPr>
            </w:pPr>
            <w:r>
              <w:rPr>
                <w:rFonts w:ascii="Arial" w:cs="Arial" w:eastAsia="Arial" w:hAnsi="Arial"/>
                <w:sz w:val="16"/>
                <w:szCs w:val="16"/>
                <w:color w:val="auto"/>
              </w:rPr>
              <w:t>46.1 %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45.5 %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40.0 %</w:t>
            </w:r>
          </w:p>
        </w:tc>
      </w:tr>
      <w:tr>
        <w:trPr>
          <w:trHeight w:val="21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r>
      <w:tr>
        <w:trPr>
          <w:trHeight w:val="213"/>
        </w:trPr>
        <w:tc>
          <w:tcPr>
            <w:tcW w:w="7200" w:type="dxa"/>
            <w:vAlign w:val="bottom"/>
            <w:gridSpan w:val="2"/>
          </w:tcPr>
          <w:p>
            <w:pPr>
              <w:ind w:left="20"/>
              <w:spacing w:after="0"/>
              <w:rPr>
                <w:sz w:val="20"/>
                <w:szCs w:val="20"/>
                <w:color w:val="auto"/>
              </w:rPr>
            </w:pPr>
            <w:r>
              <w:rPr>
                <w:rFonts w:ascii="Arial" w:cs="Arial" w:eastAsia="Arial" w:hAnsi="Arial"/>
                <w:sz w:val="16"/>
                <w:szCs w:val="16"/>
                <w:color w:val="auto"/>
              </w:rPr>
              <w:t>Other manufacturing costs</w:t>
            </w:r>
          </w:p>
        </w:tc>
        <w:tc>
          <w:tcPr>
            <w:tcW w:w="620" w:type="dxa"/>
            <w:vAlign w:val="bottom"/>
          </w:tcPr>
          <w:p>
            <w:pPr>
              <w:jc w:val="right"/>
              <w:spacing w:after="0"/>
              <w:rPr>
                <w:sz w:val="20"/>
                <w:szCs w:val="20"/>
                <w:color w:val="auto"/>
              </w:rPr>
            </w:pPr>
            <w:r>
              <w:rPr>
                <w:rFonts w:ascii="Arial" w:cs="Arial" w:eastAsia="Arial" w:hAnsi="Arial"/>
                <w:sz w:val="16"/>
                <w:szCs w:val="16"/>
                <w:color w:val="auto"/>
              </w:rPr>
              <w:t>21.6 %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23.3 %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28.0 %</w:t>
            </w:r>
          </w:p>
        </w:tc>
      </w:tr>
      <w:tr>
        <w:trPr>
          <w:trHeight w:val="21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r>
      <w:tr>
        <w:trPr>
          <w:trHeight w:val="213"/>
        </w:trPr>
        <w:tc>
          <w:tcPr>
            <w:tcW w:w="720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620" w:type="dxa"/>
            <w:vAlign w:val="bottom"/>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1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attributable to Amkor</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88"/>
        </w:trPr>
        <w:tc>
          <w:tcPr>
            <w:tcW w:w="2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 over 2020</w:t>
            </w:r>
          </w:p>
        </w:tc>
        <w:tc>
          <w:tcPr>
            <w:tcW w:w="1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 over 2019</w:t>
            </w:r>
          </w:p>
        </w:tc>
        <w:tc>
          <w:tcPr>
            <w:tcW w:w="600" w:type="dxa"/>
            <w:vAlign w:val="bottom"/>
            <w:tcBorders>
              <w:bottom w:val="single" w:sz="8" w:color="auto"/>
            </w:tcBorders>
          </w:tcPr>
          <w:p>
            <w:pPr>
              <w:spacing w:after="0"/>
              <w:rPr>
                <w:sz w:val="16"/>
                <w:szCs w:val="16"/>
                <w:color w:val="auto"/>
              </w:rPr>
            </w:pPr>
          </w:p>
        </w:tc>
      </w:tr>
      <w:tr>
        <w:trPr>
          <w:trHeight w:val="182"/>
        </w:trPr>
        <w:tc>
          <w:tcPr>
            <w:tcW w:w="2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gridSpan w:val="3"/>
          </w:tcPr>
          <w:p>
            <w:pPr>
              <w:jc w:val="right"/>
              <w:ind w:right="224"/>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6,138,329</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5,050,589</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4,052,650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24"/>
              <w:spacing w:after="0"/>
              <w:rPr>
                <w:sz w:val="20"/>
                <w:szCs w:val="20"/>
                <w:color w:val="auto"/>
              </w:rPr>
            </w:pPr>
            <w:r>
              <w:rPr>
                <w:rFonts w:ascii="Arial" w:cs="Arial" w:eastAsia="Arial" w:hAnsi="Arial"/>
                <w:sz w:val="16"/>
                <w:szCs w:val="16"/>
                <w:color w:val="auto"/>
              </w:rPr>
              <w:t>1,087,740</w:t>
            </w:r>
          </w:p>
        </w:tc>
        <w:tc>
          <w:tcPr>
            <w:tcW w:w="1120" w:type="dxa"/>
            <w:vAlign w:val="bottom"/>
            <w:shd w:val="clear" w:color="auto" w:fill="CCEEFF"/>
          </w:tcPr>
          <w:p>
            <w:pPr>
              <w:jc w:val="right"/>
              <w:ind w:right="224"/>
              <w:spacing w:after="0"/>
              <w:rPr>
                <w:sz w:val="20"/>
                <w:szCs w:val="20"/>
                <w:color w:val="auto"/>
              </w:rPr>
            </w:pPr>
            <w:r>
              <w:rPr>
                <w:rFonts w:ascii="Arial" w:cs="Arial" w:eastAsia="Arial" w:hAnsi="Arial"/>
                <w:sz w:val="16"/>
                <w:szCs w:val="16"/>
                <w:color w:val="auto"/>
              </w:rPr>
              <w:t>21.5 %  $</w:t>
            </w:r>
          </w:p>
        </w:tc>
        <w:tc>
          <w:tcPr>
            <w:tcW w:w="1360" w:type="dxa"/>
            <w:vAlign w:val="bottom"/>
            <w:shd w:val="clear" w:color="auto" w:fill="CCEEFF"/>
          </w:tcPr>
          <w:p>
            <w:pPr>
              <w:jc w:val="right"/>
              <w:ind w:right="524"/>
              <w:spacing w:after="0"/>
              <w:rPr>
                <w:sz w:val="20"/>
                <w:szCs w:val="20"/>
                <w:color w:val="auto"/>
              </w:rPr>
            </w:pPr>
            <w:r>
              <w:rPr>
                <w:rFonts w:ascii="Arial" w:cs="Arial" w:eastAsia="Arial" w:hAnsi="Arial"/>
                <w:sz w:val="16"/>
                <w:szCs w:val="16"/>
                <w:color w:val="auto"/>
              </w:rPr>
              <w:t>997,939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24.6 %</w:t>
            </w:r>
          </w:p>
        </w:tc>
      </w:tr>
    </w:tbl>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$1.1 billion increase in net sales in 2021 compared to 2020 was due to higher sales across all end markets. Sales in the communications end market represented 42% of the increase, driven primarily by the further adoption of 5G smartphones. The automotive and industrial end market recovered in the current year from weakened demand relating to the Covid-19 pandemic in the prior year, representing 25% of our growth in net sales. Sales in the computing end market accounted for 20% of the increase in 2021 due to growth in all applications, primarily due to the shift in cloud computing needs and new product introductions within personal computing. The consumer end market continues to see strong sales, primarily due to demand for both home and personal electronics, and made up the remaining 13% of the increase compared to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tcBorders>
              <w:bottom w:val="single" w:sz="8" w:color="auto"/>
            </w:tcBorders>
          </w:tcPr>
          <w:p>
            <w:pPr>
              <w:spacing w:after="0"/>
              <w:rPr>
                <w:sz w:val="16"/>
                <w:szCs w:val="16"/>
                <w:color w:val="auto"/>
              </w:rPr>
            </w:pPr>
          </w:p>
        </w:tc>
      </w:tr>
      <w:tr>
        <w:trPr>
          <w:trHeight w:val="188"/>
        </w:trPr>
        <w:tc>
          <w:tcPr>
            <w:tcW w:w="3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8"/>
              </w:rPr>
              <w:t>2021 over 2020</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2020 over 2019</w:t>
            </w:r>
          </w:p>
        </w:tc>
      </w:tr>
      <w:tr>
        <w:trPr>
          <w:trHeight w:val="183"/>
        </w:trPr>
        <w:tc>
          <w:tcPr>
            <w:tcW w:w="3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w w:val="90"/>
              </w:rPr>
              <w:t>(In thousands, except percentages)</w:t>
            </w: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1,225,554</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900,814</w:t>
            </w:r>
          </w:p>
        </w:tc>
        <w:tc>
          <w:tcPr>
            <w:tcW w:w="6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649,439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324,740</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251,375</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3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20.0 %</w:t>
            </w:r>
          </w:p>
        </w:tc>
        <w:tc>
          <w:tcPr>
            <w:tcW w:w="360" w:type="dxa"/>
            <w:vAlign w:val="bottom"/>
          </w:tcPr>
          <w:p>
            <w:pPr>
              <w:spacing w:after="0"/>
              <w:rPr>
                <w:sz w:val="18"/>
                <w:szCs w:val="18"/>
                <w:color w:val="auto"/>
              </w:rPr>
            </w:pPr>
          </w:p>
        </w:tc>
        <w:tc>
          <w:tcPr>
            <w:tcW w:w="1440" w:type="dxa"/>
            <w:vAlign w:val="bottom"/>
            <w:gridSpan w:val="2"/>
          </w:tcPr>
          <w:p>
            <w:pPr>
              <w:jc w:val="right"/>
              <w:ind w:right="364"/>
              <w:spacing w:after="0"/>
              <w:rPr>
                <w:sz w:val="20"/>
                <w:szCs w:val="20"/>
                <w:color w:val="auto"/>
              </w:rPr>
            </w:pPr>
            <w:r>
              <w:rPr>
                <w:rFonts w:ascii="Arial" w:cs="Arial" w:eastAsia="Arial" w:hAnsi="Arial"/>
                <w:sz w:val="16"/>
                <w:szCs w:val="16"/>
                <w:color w:val="auto"/>
              </w:rPr>
              <w:t>17.8 %</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16.0 %</w:t>
            </w:r>
          </w:p>
        </w:tc>
        <w:tc>
          <w:tcPr>
            <w:tcW w:w="180" w:type="dxa"/>
            <w:vAlign w:val="bottom"/>
          </w:tcPr>
          <w:p>
            <w:pPr>
              <w:spacing w:after="0"/>
              <w:rPr>
                <w:sz w:val="18"/>
                <w:szCs w:val="18"/>
                <w:color w:val="auto"/>
              </w:rPr>
            </w:pPr>
          </w:p>
        </w:tc>
        <w:tc>
          <w:tcPr>
            <w:tcW w:w="1600" w:type="dxa"/>
            <w:vAlign w:val="bottom"/>
            <w:gridSpan w:val="2"/>
          </w:tcPr>
          <w:p>
            <w:pPr>
              <w:jc w:val="right"/>
              <w:ind w:right="264"/>
              <w:spacing w:after="0"/>
              <w:rPr>
                <w:sz w:val="20"/>
                <w:szCs w:val="20"/>
                <w:color w:val="auto"/>
              </w:rPr>
            </w:pPr>
            <w:r>
              <w:rPr>
                <w:rFonts w:ascii="Arial" w:cs="Arial" w:eastAsia="Arial" w:hAnsi="Arial"/>
                <w:sz w:val="16"/>
                <w:szCs w:val="16"/>
                <w:color w:val="auto"/>
              </w:rPr>
              <w:t>2.2 %</w:t>
            </w:r>
          </w:p>
        </w:tc>
        <w:tc>
          <w:tcPr>
            <w:tcW w:w="1240" w:type="dxa"/>
            <w:vAlign w:val="bottom"/>
          </w:tcPr>
          <w:p>
            <w:pPr>
              <w:jc w:val="right"/>
              <w:spacing w:after="0"/>
              <w:rPr>
                <w:sz w:val="20"/>
                <w:szCs w:val="20"/>
                <w:color w:val="auto"/>
              </w:rPr>
            </w:pPr>
            <w:r>
              <w:rPr>
                <w:rFonts w:ascii="Arial" w:cs="Arial" w:eastAsia="Arial" w:hAnsi="Arial"/>
                <w:sz w:val="16"/>
                <w:szCs w:val="16"/>
                <w:color w:val="auto"/>
              </w:rPr>
              <w:t>1.8 %</w:t>
            </w:r>
          </w:p>
        </w:tc>
      </w:tr>
    </w:tbl>
    <w:p>
      <w:pPr>
        <w:spacing w:after="0" w:line="3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and seasonality. Recently, we have expanded our business in advanced SiP modules, which tend to have higher material costs when compared to our other products. As we continue to increase production of these higher material cost modules, there could be an impact on our profitability, depending on overall utilization.</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Gross profit and gross margin for 2021 increased compared to 2020, primarily due to the increase in net sales. The increase was partially offset by an increase in fixed costs from our expanded capacity investments and an increase in the mix of products sold with higher material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 over 2020</w:t>
            </w: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 over 2019</w:t>
            </w:r>
          </w:p>
        </w:tc>
        <w:tc>
          <w:tcPr>
            <w:tcW w:w="560" w:type="dxa"/>
            <w:vAlign w:val="bottom"/>
            <w:tcBorders>
              <w:bottom w:val="single" w:sz="8" w:color="auto"/>
            </w:tcBorders>
          </w:tcPr>
          <w:p>
            <w:pPr>
              <w:spacing w:after="0"/>
              <w:rPr>
                <w:sz w:val="16"/>
                <w:szCs w:val="16"/>
                <w:color w:val="auto"/>
              </w:rPr>
            </w:pP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3"/>
          </w:tcPr>
          <w:p>
            <w:pPr>
              <w:ind w:left="380"/>
              <w:spacing w:after="0"/>
              <w:rPr>
                <w:sz w:val="20"/>
                <w:szCs w:val="20"/>
                <w:color w:val="auto"/>
              </w:rPr>
            </w:pPr>
            <w:r>
              <w:rPr>
                <w:rFonts w:ascii="Arial" w:cs="Arial" w:eastAsia="Arial" w:hAnsi="Arial"/>
                <w:sz w:val="14"/>
                <w:szCs w:val="14"/>
                <w:b w:val="1"/>
                <w:bCs w:val="1"/>
                <w:color w:val="auto"/>
              </w:rPr>
              <w:t>(In thousands, except percentages)</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296,084</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302,842</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278,631</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(6,758)</w:t>
            </w:r>
          </w:p>
        </w:tc>
        <w:tc>
          <w:tcPr>
            <w:tcW w:w="114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(2.2)%  $</w:t>
            </w:r>
          </w:p>
        </w:tc>
        <w:tc>
          <w:tcPr>
            <w:tcW w:w="1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24,211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bl>
    <w:p>
      <w:pPr>
        <w:spacing w:after="0" w:line="323"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Selling, general and administrative expenses decreased in 2021 compared to 2020. The decrease was primarily due to a reduction of $15.1 million in costs incurred for factory consolidation efforts in Japan compared to the prior year. These decreases were partially offset by increased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8"/>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 over 2020</w:t>
            </w: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2020 over 2019</w:t>
            </w:r>
          </w:p>
        </w:tc>
        <w:tc>
          <w:tcPr>
            <w:tcW w:w="560" w:type="dxa"/>
            <w:vAlign w:val="bottom"/>
            <w:tcBorders>
              <w:bottom w:val="single" w:sz="8" w:color="auto"/>
            </w:tcBorders>
          </w:tcPr>
          <w:p>
            <w:pPr>
              <w:spacing w:after="0"/>
              <w:rPr>
                <w:sz w:val="16"/>
                <w:szCs w:val="16"/>
                <w:color w:val="auto"/>
              </w:rPr>
            </w:pPr>
          </w:p>
        </w:tc>
      </w:tr>
      <w:tr>
        <w:trPr>
          <w:trHeight w:val="183"/>
        </w:trPr>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3"/>
          </w:tcPr>
          <w:p>
            <w:pPr>
              <w:ind w:left="400"/>
              <w:spacing w:after="0"/>
              <w:rPr>
                <w:sz w:val="20"/>
                <w:szCs w:val="20"/>
                <w:color w:val="auto"/>
              </w:rPr>
            </w:pPr>
            <w:r>
              <w:rPr>
                <w:rFonts w:ascii="Arial" w:cs="Arial" w:eastAsia="Arial" w:hAnsi="Arial"/>
                <w:sz w:val="14"/>
                <w:szCs w:val="14"/>
                <w:b w:val="1"/>
                <w:bCs w:val="1"/>
                <w:color w:val="auto"/>
              </w:rPr>
              <w:t>(In thousands, except percentages)</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166,037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140,727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137,638</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25,310</w:t>
            </w:r>
          </w:p>
        </w:tc>
        <w:tc>
          <w:tcPr>
            <w:tcW w:w="11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rPr>
              <w:t>18.0 %  $</w:t>
            </w:r>
          </w:p>
        </w:tc>
        <w:tc>
          <w:tcPr>
            <w:tcW w:w="134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3,089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 Research and development expenses in 2021 increased compared to 2020 due to new development projects in advanced packaging technologies, primarily advanced SiP modules.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88"/>
        </w:trPr>
        <w:tc>
          <w:tcPr>
            <w:tcW w:w="2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96"/>
              </w:rPr>
              <w:t>2021 over 2020</w:t>
            </w: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8"/>
              </w:rPr>
              <w:t>2020 over 2019</w:t>
            </w:r>
          </w:p>
        </w:tc>
        <w:tc>
          <w:tcPr>
            <w:tcW w:w="640" w:type="dxa"/>
            <w:vAlign w:val="bottom"/>
            <w:tcBorders>
              <w:bottom w:val="single" w:sz="8" w:color="auto"/>
            </w:tcBorders>
          </w:tcPr>
          <w:p>
            <w:pPr>
              <w:spacing w:after="0"/>
              <w:rPr>
                <w:sz w:val="16"/>
                <w:szCs w:val="16"/>
                <w:color w:val="auto"/>
              </w:rPr>
            </w:pPr>
          </w:p>
        </w:tc>
      </w:tr>
      <w:tr>
        <w:trPr>
          <w:trHeight w:val="183"/>
        </w:trPr>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5"/>
          </w:tcPr>
          <w:p>
            <w:pPr>
              <w:ind w:left="420"/>
              <w:spacing w:after="0"/>
              <w:rPr>
                <w:sz w:val="20"/>
                <w:szCs w:val="20"/>
                <w:color w:val="auto"/>
              </w:rPr>
            </w:pPr>
            <w:r>
              <w:rPr>
                <w:rFonts w:ascii="Arial" w:cs="Arial" w:eastAsia="Arial" w:hAnsi="Arial"/>
                <w:sz w:val="14"/>
                <w:szCs w:val="14"/>
                <w:b w:val="1"/>
                <w:bCs w:val="1"/>
                <w:color w:val="auto"/>
                <w:w w:val="97"/>
              </w:rPr>
              <w:t>(In thousands, except percentages)</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94"/>
              </w:rPr>
              <w:t>(7,419)</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4,384</w:t>
            </w:r>
          </w:p>
        </w:tc>
        <w:tc>
          <w:tcPr>
            <w:tcW w:w="46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(80.5)%</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center"/>
              <w:ind w:left="220"/>
              <w:spacing w:after="0"/>
              <w:rPr>
                <w:sz w:val="20"/>
                <w:szCs w:val="20"/>
                <w:color w:val="auto"/>
              </w:rPr>
            </w:pPr>
            <w:r>
              <w:rPr>
                <w:rFonts w:ascii="Arial" w:cs="Arial" w:eastAsia="Arial" w:hAnsi="Arial"/>
                <w:sz w:val="16"/>
                <w:szCs w:val="16"/>
                <w:color w:val="auto"/>
                <w:w w:val="89"/>
              </w:rPr>
              <w:t>1,206</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(gain) loss,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(8,885)</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(92.5)%</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w w:val="89"/>
              </w:rPr>
              <w:t>7,664</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Loss on debt retirement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(3,042)</w:t>
            </w:r>
          </w:p>
        </w:tc>
        <w:tc>
          <w:tcPr>
            <w:tcW w:w="46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w w:val="98"/>
              </w:rPr>
              <w:t>(100.0)%</w:t>
            </w:r>
          </w:p>
        </w:tc>
        <w:tc>
          <w:tcPr>
            <w:tcW w:w="440" w:type="dxa"/>
            <w:vAlign w:val="bottom"/>
          </w:tcPr>
          <w:p>
            <w:pPr>
              <w:spacing w:after="0"/>
              <w:rPr>
                <w:sz w:val="18"/>
                <w:szCs w:val="18"/>
                <w:color w:val="auto"/>
              </w:rPr>
            </w:pPr>
          </w:p>
        </w:tc>
        <w:tc>
          <w:tcPr>
            <w:tcW w:w="780" w:type="dxa"/>
            <w:vAlign w:val="bottom"/>
          </w:tcPr>
          <w:p>
            <w:pPr>
              <w:jc w:val="center"/>
              <w:ind w:left="180"/>
              <w:spacing w:after="0"/>
              <w:rPr>
                <w:sz w:val="20"/>
                <w:szCs w:val="20"/>
                <w:color w:val="auto"/>
              </w:rPr>
            </w:pPr>
            <w:r>
              <w:rPr>
                <w:rFonts w:ascii="Arial" w:cs="Arial" w:eastAsia="Arial" w:hAnsi="Arial"/>
                <w:sz w:val="16"/>
                <w:szCs w:val="16"/>
                <w:color w:val="auto"/>
                <w:w w:val="94"/>
              </w:rPr>
              <w:t>(5,494)</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&gt;100%</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ind w:left="220"/>
              <w:spacing w:after="0"/>
              <w:rPr>
                <w:sz w:val="20"/>
                <w:szCs w:val="20"/>
                <w:color w:val="auto"/>
              </w:rPr>
            </w:pPr>
            <w:r>
              <w:rPr>
                <w:rFonts w:ascii="Arial" w:cs="Arial" w:eastAsia="Arial" w:hAnsi="Arial"/>
                <w:sz w:val="16"/>
                <w:szCs w:val="16"/>
                <w:color w:val="auto"/>
                <w:w w:val="89"/>
              </w:rPr>
              <w:t>1,246</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12"/>
        </w:trPr>
        <w:tc>
          <w:tcPr>
            <w:tcW w:w="2360" w:type="dxa"/>
            <w:vAlign w:val="bottom"/>
          </w:tcPr>
          <w:p>
            <w:pPr>
              <w:ind w:left="22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48,367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73,360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(22,196)</w:t>
            </w:r>
          </w:p>
        </w:tc>
        <w:tc>
          <w:tcPr>
            <w:tcW w:w="46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(31.5)%</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center"/>
              <w:ind w:left="180"/>
              <w:spacing w:after="0"/>
              <w:rPr>
                <w:sz w:val="20"/>
                <w:szCs w:val="20"/>
                <w:color w:val="auto"/>
              </w:rPr>
            </w:pPr>
            <w:r>
              <w:rPr>
                <w:rFonts w:ascii="Arial" w:cs="Arial" w:eastAsia="Arial" w:hAnsi="Arial"/>
                <w:sz w:val="16"/>
                <w:szCs w:val="16"/>
                <w:color w:val="auto"/>
                <w:w w:val="94"/>
              </w:rPr>
              <w:t>(2,797)</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
        </w:trPr>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decreased in 2021 compared to 2020, primarily due to the decrease in our average outstanding debt throughout the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in 2021 compared to 2020, primarily due to lower interest rates in the overall market.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foreign currency (gain) loss, net for 2021 compared to 2020 were due to foreign currency exchange rate movements, mainly the Korean won, and the associated impact on our net monetary exposure at our foreign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16"/>
                <w:szCs w:val="16"/>
                <w:color w:val="auto"/>
              </w:rPr>
            </w:pPr>
          </w:p>
        </w:tc>
      </w:tr>
      <w:tr>
        <w:trPr>
          <w:trHeight w:val="188"/>
        </w:trPr>
        <w:tc>
          <w:tcPr>
            <w:tcW w:w="4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w w:val="94"/>
              </w:rPr>
              <w:t>2021 over 2020</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2"/>
              </w:rPr>
              <w:t>2020 over 2019</w:t>
            </w:r>
          </w:p>
        </w:tc>
      </w:tr>
      <w:tr>
        <w:trPr>
          <w:trHeight w:val="183"/>
        </w:trPr>
        <w:tc>
          <w:tcPr>
            <w:tcW w:w="4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80" w:type="dxa"/>
            <w:vAlign w:val="bottom"/>
            <w:gridSpan w:val="5"/>
          </w:tcPr>
          <w:p>
            <w:pPr>
              <w:jc w:val="right"/>
              <w:ind w:right="1045"/>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69,459</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46,183</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37,182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23,276</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9,001</w:t>
            </w: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3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9.7 %</w:t>
            </w:r>
          </w:p>
        </w:tc>
        <w:tc>
          <w:tcPr>
            <w:tcW w:w="38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11.9 %</w:t>
            </w:r>
          </w:p>
        </w:tc>
        <w:tc>
          <w:tcPr>
            <w:tcW w:w="36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23.3 %</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is below the U.S. statutory rate of 21% primarily due to lower tax rates applicable to our operations in some foreign jurisdictions where we earn income. The effective tax rate in 2020 includes a $20.2 million income tax benefit from the recognition of deferred tax assets we expect to utilize in future years.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2021, 2020 and 2019, our subsidiaries in Korea, the Philippines and Singapore operated under various tax holidays. The tax holidays granted to certain operations in the Philippines expired during 2020 and 2021. As these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holidays expire, income earned in these jurisdictions will be subject to higher statutory income tax rates, which may cause our effective tax rate to increase.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See Note 4 to our Consolidated Financial Statements included in Part II, Item 8 of this Form 10-K for additional information about our income tax expense.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liquidity based on our current expectations regarding sales and operating expenses, capital spending, dividend payments, stock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and other financial requirements for at least the next twelve months.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is affected by, among other factors, volatility in the global economy and credit markets, the performance of our business, our capital expenditure levels, other uses of our cash including any dividends and purchases of stock under any stock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 Item 1A of this Form 10-K.</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6 and Note 11 to our Consolidated Financial Statements in Part II, Item 8 of this Form 10-K for additional information on our investments and borrowings, respectively.</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we had cash and cash equivalents and short-term investments of $1,078.3 million. Included in our cash and short-term investments balances as of December 31, 2021, is $918.4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For the year ended December 31, 2021, we estimate that repatriation of this foreign cash and short-term investments would generate withholding taxes and state income taxes of approximately $35 million.</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2021, our net liability associated with unrecognized tax benefits is $38.3 million. Due to the uncertainty regarding the amount and timing of any future cash outflows associated with our unrecognized tax benefits, we are unable to reasonably estimate the amount and period of ultimate settlement, if any, with the various taxing authorities.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year ended December 31, 2021 and 2020, we sold accounts receivable totaling $464.4 million and $499.3 million, net of discounts and fees of $1.2 million and $2.9 million, respectively.</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borrowing base under our $250.0 million first lien senior secured revolving credit facility (the “Singapore Revolver”) entered into by our subsidiary, Amkor Technology Singapore Holding Pte, Ltd. (“ATSH”), is limited to the amount of eligible accounts receivable. As of December 31, 2021, we had availability of $250.0 million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standby letters of credit. As of December 31, 2021, our foreign subsidiaries had $316.0 million available for future borrowings under revolving credit facilities, including the Singapore Revolver, and $222.4 million available to be borrowed under term loan credit facilities for working capital purposes and capital expenditures. For additional information regarding the Singapore Revolver, please refer to Note 11 to our Consolidated Financial Statements in Part II, Item 8 of this Form 10-K.</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2021, we had debt of $1,138.0 million, with $153.0 million payable within 12 months. As of December 31, 2021, the interest payment obligations, based on stated coupon rates for fixed rate debt and interest rates applicable at December 31, 2021 for variable rate debt, were $235.6 million during the remaining term of the debt. Interest payment obligations payable within 12 months is $44.4 million. We were in compliance with all debt covenants as of December 31, 2021, and we expect to remain in compliance with these covenants for at least the next twelve months. For additional information regarding our debt arrangements, please refer to Note 11 to our Consolidated Financial Statements in Part II, Item 8 of this Form 10-K.</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debt agreements have restrictions on dividend payments and the repurchase of stock and subordinated securities. These restrictions are determined in part by our covenant compliance and on calculations based upon cumulative net income or, in the case of our Singapore Revolver, borrowing availability, and do not currently have a material impact on our ability to make dividend payments or stock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Amkor Technology, Inc. and certain of our subsidiaries also guarantee certain debt of our other subsidiaries.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would be subject to the terms of our indentures and other debt agreements, market conditions and other factors.</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subsidiary in Korea maintains an unfunded severance plan that covers certain employees that were employed prior to August 1, 2015. As of December 31, 2021, the severance liability was $73.2 million, with $8.2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December 31, 2021, we had foreign pension plan obligations of $55.2 million, for which the timing and actual amount of impact on our future cash flow is uncertain. For additional information regarding our pension and severance plans, please refer to Note 12 to our Consolidated Financial Statements in Part II, Item 8 of this Form 10-K.</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certain machinery and equipment, office space, and manufacturing facilities. As of December 31, 2021, our total remaining operating lease obligations and finance lease obligations were $158.7 million and $89.6 million, respectively, with $68.7 million and $33.2 million payable within 12 months, respectively. The lease obligations represent our future minimum lease payments including interest payments. For additional information regarding our leases, please refer to Note 9 to our Consolidated Financial Statements in Part II, Item 8 of this Form 10-K.</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off-balance sheet purchase obligations for capital expenditures, long-term supply contracts and other contractual commitments. As of December 31, 2021, the purchase obligations were $460.1 million, with $432.8 million payable within 12 months.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we paid total quarterly cash dividends of $51.2 million.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previously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Stock Repurchase Program since 2012. At December 31, 2021, approximately $91.6 million was available to repurchase common stock pursuant to the Stock Repurchase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make significant capital expenditures in order to service the demand of our customers, which are primarily focused on investments in advanced packaging and test equipment. In 2021, our capital expenditures totaled $779.8 million or approximately 12.7% of net sales.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that our 2022 capital expenditures will be approximately $950 million, approximately $100 million of which we expect to spend on the construction of our new Vietnam factory. Ultimately, the amount of our 2022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are subject to risks associated with our capital expenditures, including those discussed in Part I, Item 1A of this Form 10-K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each of the three years ended December 31, 2021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center"/>
              <w:ind w:left="677"/>
              <w:spacing w:after="0"/>
              <w:rPr>
                <w:sz w:val="20"/>
                <w:szCs w:val="20"/>
                <w:color w:val="auto"/>
              </w:rPr>
            </w:pPr>
            <w:r>
              <w:rPr>
                <w:rFonts w:ascii="Arial" w:cs="Arial" w:eastAsia="Arial" w:hAnsi="Arial"/>
                <w:sz w:val="14"/>
                <w:szCs w:val="14"/>
                <w:b w:val="1"/>
                <w:bCs w:val="1"/>
                <w:color w:val="auto"/>
                <w:w w:val="92"/>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1,121,295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9"/>
              </w:rPr>
              <w:t>770,033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9"/>
              </w:rPr>
              <w:t>563,850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(943,879)</w:t>
            </w:r>
          </w:p>
        </w:tc>
        <w:tc>
          <w:tcPr>
            <w:tcW w:w="280" w:type="dxa"/>
            <w:vAlign w:val="bottom"/>
          </w:tcPr>
          <w:p>
            <w:pPr>
              <w:spacing w:after="0"/>
              <w:rPr>
                <w:sz w:val="19"/>
                <w:szCs w:val="19"/>
                <w:color w:val="auto"/>
              </w:rPr>
            </w:pPr>
          </w:p>
        </w:tc>
        <w:tc>
          <w:tcPr>
            <w:tcW w:w="1340" w:type="dxa"/>
            <w:vAlign w:val="bottom"/>
          </w:tcPr>
          <w:p>
            <w:pPr>
              <w:jc w:val="center"/>
              <w:ind w:left="417"/>
              <w:spacing w:after="0"/>
              <w:rPr>
                <w:sz w:val="20"/>
                <w:szCs w:val="20"/>
                <w:color w:val="auto"/>
              </w:rPr>
            </w:pPr>
            <w:r>
              <w:rPr>
                <w:rFonts w:ascii="Arial" w:cs="Arial" w:eastAsia="Arial" w:hAnsi="Arial"/>
                <w:sz w:val="18"/>
                <w:szCs w:val="18"/>
                <w:color w:val="auto"/>
                <w:w w:val="93"/>
              </w:rPr>
              <w:t>(638,705)</w:t>
            </w:r>
          </w:p>
        </w:tc>
        <w:tc>
          <w:tcPr>
            <w:tcW w:w="460" w:type="dxa"/>
            <w:vAlign w:val="bottom"/>
          </w:tcPr>
          <w:p>
            <w:pPr>
              <w:spacing w:after="0"/>
              <w:rPr>
                <w:sz w:val="19"/>
                <w:szCs w:val="19"/>
                <w:color w:val="auto"/>
              </w:rPr>
            </w:pPr>
          </w:p>
        </w:tc>
        <w:tc>
          <w:tcPr>
            <w:tcW w:w="1120" w:type="dxa"/>
            <w:vAlign w:val="bottom"/>
          </w:tcPr>
          <w:p>
            <w:pPr>
              <w:jc w:val="center"/>
              <w:ind w:left="275"/>
              <w:spacing w:after="0"/>
              <w:rPr>
                <w:sz w:val="20"/>
                <w:szCs w:val="20"/>
                <w:color w:val="auto"/>
              </w:rPr>
            </w:pPr>
            <w:r>
              <w:rPr>
                <w:rFonts w:ascii="Arial" w:cs="Arial" w:eastAsia="Arial" w:hAnsi="Arial"/>
                <w:sz w:val="18"/>
                <w:szCs w:val="18"/>
                <w:color w:val="auto"/>
                <w:w w:val="93"/>
              </w:rPr>
              <w:t>(462,489)</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(30,102)</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93"/>
              </w:rPr>
              <w:t>(333,719)</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9"/>
              </w:rPr>
              <w:t>108,250</w:t>
            </w: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 provided by operating activities for the year ended December 31, 2021 increased by $351.3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primarily due to higher net sales, higher operating profit and an increase in contract liabilities due to customer advance payments. This increase was offset by changes in working capital.</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Our cash flow used in investing activities for the year ended December 31, 2021 increased by $305.2 million compared to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2020, primarily due to increased payments related to property, plant and equipment and increased net payments for foreign currency forward contracts. Payments for property, plant and equipment can fluctuate based on the timing of purchase, receipt and acceptance of equipment.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net cash used in financing activities for the year ended December 31, 2021 was primarily due to dividend payments,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net debt borrowing in Korea. The net cash used in financing activities for the year ended December 31, 2020 was primarily due to the net debt repayments in Korea and Taiwan.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6"/>
              <w:spacing w:after="0"/>
              <w:rPr>
                <w:sz w:val="20"/>
                <w:szCs w:val="20"/>
                <w:color w:val="auto"/>
              </w:rPr>
            </w:pPr>
            <w:r>
              <w:rPr>
                <w:rFonts w:ascii="Arial" w:cs="Arial" w:eastAsia="Arial" w:hAnsi="Arial"/>
                <w:sz w:val="14"/>
                <w:szCs w:val="14"/>
                <w:b w:val="1"/>
                <w:bCs w:val="1"/>
                <w:color w:val="auto"/>
                <w:w w:val="92"/>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563,850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Payments for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(779,779)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(553,021)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(472,433)</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103,072</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Note 17 to our Consolidated Financial Statements in Part II, Item 8 of this Form 10-K for a discussion of contingencies related to litigation and other legal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A summary of our significant accounting policies used in the preparation of our Consolidated Financial Statements appears in Note 1 to our Consolidated Financial Statements included in Part II, Item 8 of this Form 10-K. Our preparation of this Form 10-K requires us to make estimates and assumptions that affect the reported amount of assets and liabilities, disclosure of contingent assets and liabilities at the date of our financial statements and the reported amounts of revenue and expenses during the reporting period. There can be no assurance that actual results will not differ from those estimates, including the impact of Covid-19 and any deterioration in the global business and economic environment.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following critical accounting estimates and policies, which have been reviewed with the Audit Committee of our Board of Directors, affect our more significant judgments and estimates used in the preparation of our Consolidated Financial Statements.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net of sales, use, value-added and other similar taxes, as a performance obligation is satisfied in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w:t>
      </w:r>
    </w:p>
    <w:p>
      <w:pPr>
        <w:spacing w:after="0" w:line="2" w:lineRule="exact"/>
        <w:rPr>
          <w:sz w:val="20"/>
          <w:szCs w:val="20"/>
          <w:color w:val="auto"/>
        </w:rPr>
      </w:pPr>
    </w:p>
    <w:p>
      <w:pPr>
        <w:ind w:firstLine="8"/>
        <w:spacing w:after="0" w:line="260" w:lineRule="auto"/>
        <w:tabs>
          <w:tab w:leader="none" w:pos="2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obligations in the contract; and (5) recognizing revenue when the performance obligation is satisfied. Substantially all of our revenue is recognized as services are rendered.</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consideration, including variable consideration, is allocated between the distinct services in a combined offering based upon the stand-alone selling prices of the individual services. Our services involve a high degree of specialization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operate in and file income tax returns in various U.S. and non-U.S. jurisdictions which are subject to examination by tax authorities.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returns for years where the statute of limitations remains open in all jurisdictions in which we do business are subject to change upon examination. We believe that we have estimated and provided adequate accruals for potential additional taxes and related interest expense that may ultimately result from such examinations. We believe that any additional taxes or related interest over the amounts accrued will not have a material effect on our financial condition, results of operations or cash flows. However, resolution of these matters involves uncertainties, and there can be no assurance that the outcomes will be favorable. In addition, changes in the mix of income from our foreign subsidiaries, expiration of tax holidays or changes in tax laws or regulations could result in increased tax expense and effective tax rates in the future.</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 planning strategies and results of recent operations. With the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 We have valuation allowances on certain U.S. federal net operating losses and U.S. foreign tax credit carryforwards expected to expire unused and on select deferred tax assets in certain foreign jurisdictions. Such valuation allowances are released as the related tax benefits are realized or when sufficient evidence exists to conclude that it is more likely than not that the deferred tax assets will be realized.</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Valuation of Inventory. </w:t>
      </w:r>
      <w:r>
        <w:rPr>
          <w:rFonts w:ascii="Arial" w:cs="Arial" w:eastAsia="Arial" w:hAnsi="Arial"/>
          <w:sz w:val="17"/>
          <w:szCs w:val="17"/>
          <w:color w:val="auto"/>
        </w:rPr>
        <w:t>We order raw materials based on customers’ forecasted demand. If our customers change their forecasted requirements and we are</w:t>
      </w:r>
      <w:r>
        <w:rPr>
          <w:rFonts w:ascii="Arial" w:cs="Arial" w:eastAsia="Arial" w:hAnsi="Arial"/>
          <w:sz w:val="17"/>
          <w:szCs w:val="17"/>
          <w:i w:val="1"/>
          <w:iCs w:val="1"/>
          <w:color w:val="auto"/>
        </w:rPr>
        <w:t xml:space="preserve"> </w:t>
      </w:r>
      <w:r>
        <w:rPr>
          <w:rFonts w:ascii="Arial" w:cs="Arial" w:eastAsia="Arial" w:hAnsi="Arial"/>
          <w:sz w:val="17"/>
          <w:szCs w:val="17"/>
          <w:color w:val="auto"/>
        </w:rPr>
        <w:t>unable to cancel our raw materials order, or if our vendors require that we order a minimum quantity that exceeds the current forecasted demand, we will experience a build-up in raw material inventory. We will either seek to recover the cost of the materials from our customers or utilize the inventory in production. However, we may not be successful in recovering the cost from our customers or be able to use the inventory in production and, accordingly, if we believe that it is probable that we will not be able to recover such costs, we reduce the carrying value of our inventory. Additionally, we reduce the carrying value of our inventories by the cost of inventory we estimate is excess and obsolete based on the age of our inventories. When a determination is made that the inventory will not be utilized in production or is not saleable, it is written off. The forecast of demand and the evaluation of inventory recoverability require estimates and judgment. Although we make an effort to ensure forecasted demand and estimates of inventory are accurate, any unanticipated changes could have a material effect on our financial condition and result of operations.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consist of raw materials and purchased components and are stated at the lower of cost and net realizable value. Cost is principally determined by standard cost or the weighted moving average method, both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 actual cost. For inventory valued using the standard cost method, we review and set our standard costs as needed, but at a minimum on an annual basis.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Valuation of Long-lived Assets. </w:t>
      </w:r>
      <w:r>
        <w:rPr>
          <w:rFonts w:ascii="Arial" w:cs="Arial" w:eastAsia="Arial" w:hAnsi="Arial"/>
          <w:sz w:val="18"/>
          <w:szCs w:val="18"/>
          <w:color w:val="auto"/>
        </w:rPr>
        <w:t>We review long-lived assets, which include property, plant and equipment and goodwill,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amount may not be recoverable. Factors we consider important which could trigger an impairment review include the following:</w:t>
      </w:r>
    </w:p>
    <w:p>
      <w:pPr>
        <w:spacing w:after="0" w:line="21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asset;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negative industry or economic 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 goodwill for impairment annually during the fourth quarter of each year and whenever events or changes in circumstances indicate that an impairment may exist. Impairment losses are recorded when the carrying amount of the reporting unit exceeds its fair value.</w:t>
      </w:r>
    </w:p>
    <w:p>
      <w:pPr>
        <w:spacing w:after="0" w:line="1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U.S. dollar is our reporting and functional currency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assets or liabilities denominated in foreign currencies.</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December 31, 2021, to assess the potential impact of fluctuations in exchange rates for all foreign denominated assets and liabilities. Assuming that all foreign currencies appreciated 10% against the U.S. dollar and taking into account our foreign currency forward contracts, our income before taxes as of December 31, 2021 would have been approximately $18 million lower, due to the remeasurement of monetary assets and liabilities.</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have foreign currency exchange rate exposure on our results of operations. For the year ended December 31, 2021, approximately 85% of our net sales were denominated in U.S. dollars. Our remaining net sales were principally denominated in Japanese yen. For the year ended December 31, 2021, approximately 50%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analysis of our foreign currency exposure as of December 31, 2021 to assess the potential impact of fluctuations in exchange rates for all foreign denominated sales and operating expenses. Assuming that all foreign currencies appreciated 10% against the U.S. dollar, our operating income for the year ended December 31, 2021 would have been approximately $121 million lower.</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Consolidated Financial Statements are impacted by changes in exchange rates at the entity where the local currency is the functional currency. The effect of foreign exchange rate translation for these entities was a loss of $16.8 million and a gain of $7.5 million for the years ended December 31, 2021 and 2020, respectively, and was recognized as an adjustment to equity through other comprehensive income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6 to our Consolidated Financial Statements in Part II, Item 8 of this Form 10-K.</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Thereafter</w:t>
            </w: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Fair Value</w:t>
            </w:r>
          </w:p>
        </w:tc>
      </w:tr>
      <w:tr>
        <w:trPr>
          <w:trHeight w:val="187"/>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720"/>
              <w:spacing w:after="0"/>
              <w:rPr>
                <w:sz w:val="20"/>
                <w:szCs w:val="20"/>
                <w:color w:val="auto"/>
              </w:rPr>
            </w:pPr>
            <w:r>
              <w:rPr>
                <w:rFonts w:ascii="Arial" w:cs="Arial" w:eastAsia="Arial" w:hAnsi="Arial"/>
                <w:sz w:val="14"/>
                <w:szCs w:val="14"/>
                <w:b w:val="1"/>
                <w:bCs w:val="1"/>
                <w:color w:val="auto"/>
              </w:rPr>
              <w:t>($ in 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 debt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$147,219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$130,272</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$96,383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$60,496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$44,695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$568,857</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$1,047,922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$1,081,916</w:t>
            </w: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108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 debt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49,064</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98,853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101,622</w:t>
            </w: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108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1"/>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 maturities</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$179,336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$568,857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$1,146,775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$1,183,538</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regarding the fair value of our long-term debt, see Note 16 to our Consolidated Financial Statements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780" w:type="dxa"/>
            <w:vAlign w:val="bottom"/>
            <w:gridSpan w:val="9"/>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540" w:type="dxa"/>
            <w:vAlign w:val="bottom"/>
            <w:gridSpan w:val="11"/>
          </w:tcPr>
          <w:p>
            <w:pPr>
              <w:spacing w:after="0"/>
              <w:rPr>
                <w:sz w:val="20"/>
                <w:szCs w:val="20"/>
                <w:color w:val="auto"/>
              </w:rPr>
            </w:pPr>
            <w:r>
              <w:rPr>
                <w:rFonts w:ascii="Arial" w:cs="Arial" w:eastAsia="Arial" w:hAnsi="Arial"/>
                <w:sz w:val="18"/>
                <w:szCs w:val="18"/>
                <w:color w:val="auto"/>
              </w:rPr>
              <w:t>We present the information required by Item 8 of Form 10-K here in the following order:</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20" w:type="dxa"/>
            <w:vAlign w:val="bottom"/>
          </w:tcPr>
          <w:p>
            <w:pPr>
              <w:spacing w:after="0"/>
              <w:rPr>
                <w:sz w:val="16"/>
                <w:szCs w:val="16"/>
                <w:color w:val="auto"/>
              </w:rPr>
            </w:pPr>
          </w:p>
        </w:tc>
        <w:tc>
          <w:tcPr>
            <w:tcW w:w="5540" w:type="dxa"/>
            <w:vAlign w:val="bottom"/>
            <w:tcBorders>
              <w:bottom w:val="single" w:sz="8" w:color="0000FF"/>
            </w:tcBorders>
            <w:gridSpan w:val="4"/>
          </w:tcPr>
          <w:p>
            <w:pPr>
              <w:spacing w:after="0" w:line="189" w:lineRule="exact"/>
              <w:rPr>
                <w:rFonts w:ascii="Arial" w:cs="Arial" w:eastAsia="Arial" w:hAnsi="Arial"/>
                <w:sz w:val="18"/>
                <w:szCs w:val="18"/>
                <w:color w:val="0000FF"/>
                <w:w w:val="92"/>
              </w:rPr>
            </w:pPr>
            <w:hyperlink w:anchor="page47">
              <w:r>
                <w:rPr>
                  <w:rFonts w:ascii="Arial" w:cs="Arial" w:eastAsia="Arial" w:hAnsi="Arial"/>
                  <w:sz w:val="18"/>
                  <w:szCs w:val="18"/>
                  <w:color w:val="0000FF"/>
                  <w:w w:val="92"/>
                </w:rPr>
                <w:t xml:space="preserve">Report of Independent Registered Public Accounting Firm (PCAOB ID </w:t>
              </w:r>
            </w:hyperlink>
            <w:r>
              <w:rPr>
                <w:rFonts w:ascii="Arial" w:cs="Arial" w:eastAsia="Arial" w:hAnsi="Arial"/>
                <w:sz w:val="18"/>
                <w:szCs w:val="18"/>
                <w:color w:val="0000FF"/>
                <w:w w:val="92"/>
              </w:rPr>
              <w:t>238)</w:t>
            </w:r>
          </w:p>
        </w:tc>
        <w:tc>
          <w:tcPr>
            <w:tcW w:w="4980" w:type="dxa"/>
            <w:vAlign w:val="bottom"/>
            <w:gridSpan w:val="6"/>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Consolidated Statements of Income — Years ended December 31, 2021, 2020 and 2019</w:t>
              </w:r>
            </w:hyperlink>
          </w:p>
        </w:tc>
        <w:tc>
          <w:tcPr>
            <w:tcW w:w="418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520" w:type="dxa"/>
            <w:vAlign w:val="bottom"/>
            <w:gridSpan w:val="1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Statements of Comprehensive Income — Years ended December 31, 2021, 2020 and 2019</w:t>
              </w:r>
            </w:hyperlink>
          </w:p>
        </w:tc>
        <w:tc>
          <w:tcPr>
            <w:tcW w:w="68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500" w:type="dxa"/>
            <w:vAlign w:val="bottom"/>
            <w:tcBorders>
              <w:top w:val="single" w:sz="8" w:color="0000FF"/>
            </w:tcBorders>
            <w:gridSpan w:val="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Consolidated Balance Sheets — December 31, 2021 and 2020</w:t>
              </w:r>
            </w:hyperlink>
          </w:p>
        </w:tc>
        <w:tc>
          <w:tcPr>
            <w:tcW w:w="3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Consolidated Statements of Stockholders’ Equity — Years ended December 31, 2021, 2020 and 2019</w:t>
              </w:r>
            </w:hyperlink>
          </w:p>
        </w:tc>
        <w:tc>
          <w:tcPr>
            <w:tcW w:w="320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520" w:type="dxa"/>
            <w:vAlign w:val="bottom"/>
            <w:gridSpan w:val="1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Consolidated Statements of Cash Flows — Years December 31, 2021, 2020 and 2019</w:t>
              </w:r>
            </w:hyperlink>
          </w:p>
        </w:tc>
        <w:tc>
          <w:tcPr>
            <w:tcW w:w="680" w:type="dxa"/>
            <w:vAlign w:val="bottom"/>
            <w:gridSpan w:val="2"/>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Notes to Consolidated Financial Statements</w:t>
              </w:r>
            </w:hyperlink>
          </w:p>
        </w:tc>
        <w:tc>
          <w:tcPr>
            <w:tcW w:w="3000" w:type="dxa"/>
            <w:vAlign w:val="bottom"/>
            <w:tcBorders>
              <w:top w:val="single" w:sz="8" w:color="0000FF"/>
            </w:tcBorders>
            <w:gridSpan w:val="3"/>
          </w:tcPr>
          <w:p>
            <w:pPr>
              <w:spacing w:after="0"/>
              <w:rPr>
                <w:sz w:val="18"/>
                <w:szCs w:val="18"/>
                <w:color w:val="auto"/>
              </w:rPr>
            </w:pPr>
          </w:p>
        </w:tc>
        <w:tc>
          <w:tcPr>
            <w:tcW w:w="436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520" w:type="dxa"/>
            <w:vAlign w:val="bottom"/>
            <w:gridSpan w:val="10"/>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Schedule II — Valuation and Qualifying Accounts — Years ended December 31, 2021, 2020 and 2019</w:t>
              </w:r>
            </w:hyperlink>
          </w:p>
        </w:tc>
        <w:tc>
          <w:tcPr>
            <w:tcW w:w="680" w:type="dxa"/>
            <w:vAlign w:val="bottom"/>
            <w:gridSpan w:val="2"/>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Amkor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Amkor Technology, Inc. and its subsidiaries (the “Company”) as of December 31, 2021 and 2020, and the related consolidated statements of income, of comprehensive income, of stockholders’ equity and of cash flows for each of the three years in the period ended December 31, 2021, including the related notes and schedule of valuation and qualifying accounts for each of the three years in the period ended December 31, 2021 appearing under Item 8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described in Notes 1 and 4 to the consolidated financial statements, the Company recorded income tax expense of $69.5 million for the year ended December 31, 2021, and net deferred tax assets of $72.6 million and unrecognized tax benefits of $37.3 million as of December 31, 2021. 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Management monitors on an ongoing basis its ability to utilize deferred tax assets and whether there is a need for a related valuation allowance. In evaluating the ability to recover deferred tax assets in the jurisdictions from which they arise, management considers all available positive and negative evidence, including scheduled reversals of deferred tax liabilities, projected future taxable income, tax-planning strategies and recent results of operations. The Company operates in and files income tax returns in various U.S. and foreign jurisdictions, which are subject to examination by tax authorities. Years open to examination contain matters that could be subject to differing interpretations of applicable tax laws and regulations related to the amount and/or timing of income, deductions and tax credits.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accounting for income taxes is a critical audit matter are the significant judgment by management in determining the income tax provision and other tax positions. This in turn led to a high degree of auditor judgment, subjectivity and effort in performing procedures and in evaluating audit evidence relating to income taxes. The audit effort involved the use of professionals with specialized skill and knowledge to assist in evaluating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the controls addressing the completeness and accuracy of the data utilized. These procedures also included, among others (i) testing the income tax provision calculation and underlying data, including the effective tax rate reconciliation, significant return to provision adjustments, and permanent and temporary differences, (ii) evaluating management’s assessment of the realizability of deferred tax assets on a jurisdictional basis, (iii) evaluating the identification of reserves for unrecognized tax benefits and the reasonableness of the “more likely than not” determination considering the jurisdictions, court decisions, legislative actions, statute of limitations, and developments in tax examinations, and (iv) using professionals with specialized skill and knowledge to assist in evaluating the reasonableness of management’s judgment and estimates, including application of foreign and domestic tax laws and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w w:val="93"/>
              </w:rPr>
              <w:t>For the Year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6,138,329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5,050,589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4,052,650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4,912,775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4,149,775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3,403,211</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649,439</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302,842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278,631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137,638</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416,269</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233,170</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71,587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73,360</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before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37,182</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Amkor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in computing per common share amounts: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243,878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241,509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239,725</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240,122</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340,499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122,628</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Adjustments to net unrealized gains (losses) on available-for-sale debt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ind w:left="4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(7,479)</w:t>
            </w:r>
          </w:p>
        </w:tc>
      </w:tr>
      <w:tr>
        <w:trPr>
          <w:trHeight w:val="229"/>
        </w:trPr>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r>
      <w:tr>
        <w:trPr>
          <w:trHeight w:val="223"/>
        </w:trPr>
        <w:tc>
          <w:tcPr>
            <w:tcW w:w="6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117,931</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Amkor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116,191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4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8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gridSpan w:val="3"/>
          </w:tcPr>
          <w:p>
            <w:pPr>
              <w:jc w:val="center"/>
              <w:ind w:left="540"/>
              <w:spacing w:after="0" w:line="130" w:lineRule="exact"/>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4"/>
          </w:tcPr>
          <w:p>
            <w:pPr>
              <w:jc w:val="center"/>
              <w:ind w:right="259"/>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826,744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698,002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investments (amortized cost of $251,959 and $133,744, respectively)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133,769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Accounts receivable, net of allowances of $440 and $863, respectively</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1,258,767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962,643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297,293</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33,601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40,218</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2,856,563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2,132,932</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2,871,058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2,566,002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 of use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147,236</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24,516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27,325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122,860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145,628</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6,038,554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5,022,311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8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borrowings and current portion of long-term debt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149,007</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Trade accounts payable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828,727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636,434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payable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181,339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Short-term operating lease liability</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64,233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49,748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422,892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299,459</w:t>
            </w:r>
          </w:p>
        </w:tc>
        <w:tc>
          <w:tcPr>
            <w:tcW w:w="0" w:type="dxa"/>
            <w:vAlign w:val="bottom"/>
          </w:tcPr>
          <w:p>
            <w:pPr>
              <w:spacing w:after="0"/>
              <w:rPr>
                <w:sz w:val="1"/>
                <w:szCs w:val="1"/>
                <w:color w:val="auto"/>
              </w:rPr>
            </w:pPr>
          </w:p>
        </w:tc>
      </w:tr>
      <w:tr>
        <w:trPr>
          <w:trHeight w:val="206"/>
        </w:trPr>
        <w:tc>
          <w:tcPr>
            <w:tcW w:w="822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1,679,735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1,315,987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984,988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1,005,339</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Pension and severance obligations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120,472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159,610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84,420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196,876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102,996</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3,066,008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2,668,352</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Commitments and contingencies (Note 17)</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480"/>
              <w:spacing w:after="0"/>
              <w:rPr>
                <w:sz w:val="20"/>
                <w:szCs w:val="20"/>
                <w:color w:val="auto"/>
              </w:rPr>
            </w:pPr>
            <w:r>
              <w:rPr>
                <w:rFonts w:ascii="Arial" w:cs="Arial" w:eastAsia="Arial" w:hAnsi="Arial"/>
                <w:sz w:val="16"/>
                <w:szCs w:val="16"/>
                <w:color w:val="auto"/>
              </w:rPr>
              <w:t>Preferred stock, $0.001 par value, 10,000 shares authorized, designated Series A, none issued</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480"/>
              <w:spacing w:after="0" w:line="169" w:lineRule="exact"/>
              <w:rPr>
                <w:sz w:val="20"/>
                <w:szCs w:val="20"/>
                <w:color w:val="auto"/>
              </w:rPr>
            </w:pPr>
            <w:r>
              <w:rPr>
                <w:rFonts w:ascii="Arial" w:cs="Arial" w:eastAsia="Arial" w:hAnsi="Arial"/>
                <w:sz w:val="16"/>
                <w:szCs w:val="16"/>
                <w:color w:val="auto"/>
                <w:w w:val="93"/>
              </w:rPr>
              <w:t>Common stock, $0.001 par value, 500,000 shares authorized, 290,466 and 288,923 shares issued, and 244,315 and</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242,829 shares outstanding, respectively</w:t>
            </w: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1,977,134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1,953,378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562,502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27,270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46,151 and 46,094 shares,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(217,740)</w:t>
            </w:r>
          </w:p>
        </w:tc>
        <w:tc>
          <w:tcPr>
            <w:tcW w:w="0" w:type="dxa"/>
            <w:vAlign w:val="bottom"/>
          </w:tcPr>
          <w:p>
            <w:pPr>
              <w:spacing w:after="0"/>
              <w:rPr>
                <w:sz w:val="1"/>
                <w:szCs w:val="1"/>
                <w:color w:val="auto"/>
              </w:rPr>
            </w:pPr>
          </w:p>
        </w:tc>
      </w:tr>
      <w:tr>
        <w:trPr>
          <w:trHeight w:val="206"/>
        </w:trPr>
        <w:tc>
          <w:tcPr>
            <w:tcW w:w="8220" w:type="dxa"/>
            <w:vAlign w:val="bottom"/>
          </w:tcPr>
          <w:p>
            <w:pPr>
              <w:ind w:left="680"/>
              <w:spacing w:after="0"/>
              <w:rPr>
                <w:sz w:val="20"/>
                <w:szCs w:val="20"/>
                <w:color w:val="auto"/>
              </w:rPr>
            </w:pPr>
            <w:r>
              <w:rPr>
                <w:rFonts w:ascii="Arial" w:cs="Arial" w:eastAsia="Arial" w:hAnsi="Arial"/>
                <w:sz w:val="16"/>
                <w:szCs w:val="16"/>
                <w:color w:val="auto"/>
              </w:rPr>
              <w:t>Total Amkor stockholders’ equity</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2,942,276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2,325,699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in subsidiaries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2,972,546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2,353,959</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6,038,554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5,022,311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560" w:type="dxa"/>
            <w:vAlign w:val="bottom"/>
            <w:gridSpan w:val="5"/>
          </w:tcPr>
          <w:p>
            <w:pPr>
              <w:ind w:left="360"/>
              <w:spacing w:after="0" w:line="122" w:lineRule="exact"/>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Retained Earnings</w:t>
            </w: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68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Arial" w:cs="Arial" w:eastAsia="Arial" w:hAnsi="Arial"/>
                <w:sz w:val="10"/>
                <w:szCs w:val="10"/>
                <w:b w:val="1"/>
                <w:bCs w:val="1"/>
                <w:color w:val="auto"/>
                <w:w w:val="99"/>
              </w:rPr>
              <w:t>Additional Paid-</w:t>
            </w: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6"/>
              </w:rPr>
              <w:t>(Accumulated</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6"/>
              </w:rPr>
              <w:t>Stockholders’</w:t>
            </w:r>
          </w:p>
        </w:tc>
        <w:tc>
          <w:tcPr>
            <w:tcW w:w="140" w:type="dxa"/>
            <w:vAlign w:val="bottom"/>
          </w:tcPr>
          <w:p>
            <w:pPr>
              <w:spacing w:after="0"/>
              <w:rPr>
                <w:sz w:val="4"/>
                <w:szCs w:val="4"/>
                <w:color w:val="auto"/>
              </w:rPr>
            </w:pPr>
          </w:p>
        </w:tc>
        <w:tc>
          <w:tcPr>
            <w:tcW w:w="10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Interest in</w:t>
            </w:r>
          </w:p>
        </w:tc>
        <w:tc>
          <w:tcPr>
            <w:tcW w:w="18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line="20" w:lineRule="exact"/>
              <w:rPr>
                <w:sz w:val="1"/>
                <w:szCs w:val="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 (Loss)</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Equity</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Subsidiaries</w:t>
            </w:r>
          </w:p>
        </w:tc>
        <w:tc>
          <w:tcPr>
            <w:tcW w:w="18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4"/>
          </w:tcPr>
          <w:p>
            <w:pPr>
              <w:ind w:left="680"/>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7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w w:val="97"/>
              </w:rPr>
              <w:t>Balance at December 31,</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285,352</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1,909,425</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113,189</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23,812</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(45,967)</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(216,171)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1,830,540</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25,360</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1,855,900</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2018</w:t>
            </w: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120,888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120,888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122,628</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88"/>
              </w:rPr>
              <w:t>Other comprehensive income</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Treasury stock acquired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w w:val="93"/>
              </w:rPr>
              <w:t>through surrender of shares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(1,308)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(1,308)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Issuance of stock through</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5"/>
              </w:rPr>
              <w:t>share-based compensation</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1,525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11,403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11,405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11,405</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w w:val="94"/>
              </w:rPr>
              <w:t>Share-based compensation</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6,911</w:t>
            </w: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700" w:type="dxa"/>
            <w:vAlign w:val="bottom"/>
          </w:tcPr>
          <w:p>
            <w:pPr>
              <w:ind w:left="180"/>
              <w:spacing w:after="0" w:line="102" w:lineRule="exact"/>
              <w:rPr>
                <w:sz w:val="20"/>
                <w:szCs w:val="20"/>
                <w:color w:val="auto"/>
              </w:rPr>
            </w:pPr>
            <w:r>
              <w:rPr>
                <w:rFonts w:ascii="Arial" w:cs="Arial" w:eastAsia="Arial" w:hAnsi="Arial"/>
                <w:sz w:val="10"/>
                <w:szCs w:val="10"/>
                <w:b w:val="1"/>
                <w:bCs w:val="1"/>
                <w:color w:val="auto"/>
              </w:rPr>
              <w:t>Balance at December 31,</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286,877</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1,927,739</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234,077</w:t>
            </w:r>
          </w:p>
        </w:tc>
        <w:tc>
          <w:tcPr>
            <w:tcW w:w="10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19,115</w:t>
            </w:r>
          </w:p>
        </w:tc>
        <w:tc>
          <w:tcPr>
            <w:tcW w:w="100" w:type="dxa"/>
            <w:vAlign w:val="bottom"/>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(46,072)</w:t>
            </w:r>
          </w:p>
        </w:tc>
        <w:tc>
          <w:tcPr>
            <w:tcW w:w="10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(217,479)</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1,963,739</w:t>
            </w:r>
          </w:p>
        </w:tc>
        <w:tc>
          <w:tcPr>
            <w:tcW w:w="10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26,500</w:t>
            </w:r>
          </w:p>
        </w:tc>
        <w:tc>
          <w:tcPr>
            <w:tcW w:w="10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1,990,239</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Arial" w:cs="Arial" w:eastAsia="Arial" w:hAnsi="Arial"/>
                <w:sz w:val="13"/>
                <w:szCs w:val="13"/>
                <w:b w:val="1"/>
                <w:bCs w:val="1"/>
                <w:color w:val="auto"/>
              </w:rPr>
              <w:t>2019</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338,138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338,138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340,499</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w w:val="88"/>
              </w:rPr>
              <w:t>Other comprehensive income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8,155</w:t>
            </w:r>
          </w:p>
        </w:tc>
        <w:tc>
          <w:tcPr>
            <w:tcW w:w="100" w:type="dxa"/>
            <w:vAlign w:val="bottom"/>
          </w:tcPr>
          <w:p>
            <w:pPr>
              <w:spacing w:after="0"/>
              <w:rPr>
                <w:sz w:val="10"/>
                <w:szCs w:val="10"/>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8,155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8,155</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(loss)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Treasury stock acquired</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3"/>
              </w:rPr>
              <w:t>through surrender of shares</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Issuance of stock through</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w w:val="95"/>
              </w:rPr>
              <w:t>share-based compensation</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2,046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17,609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17,611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17,611</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plans</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8,030</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Cash dividends declared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(9,713)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(9,713)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(9,713)</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w w:val="97"/>
              </w:rPr>
              <w:t>($0.04 per common share)</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74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vMerge w:val="continue"/>
            <w:shd w:val="clear" w:color="auto" w:fill="CCEEFF"/>
          </w:tcPr>
          <w:p>
            <w:pPr>
              <w:spacing w:after="0"/>
              <w:rPr>
                <w:sz w:val="15"/>
                <w:szCs w:val="15"/>
                <w:color w:val="auto"/>
              </w:rPr>
            </w:pPr>
          </w:p>
        </w:tc>
        <w:tc>
          <w:tcPr>
            <w:tcW w:w="760" w:type="dxa"/>
            <w:vAlign w:val="bottom"/>
            <w:tcBorders>
              <w:bottom w:val="single" w:sz="8" w:color="auto"/>
            </w:tcBorders>
            <w:gridSpan w:val="2"/>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00" w:type="dxa"/>
            <w:vAlign w:val="bottom"/>
          </w:tcPr>
          <w:p>
            <w:pPr>
              <w:ind w:left="180"/>
              <w:spacing w:after="0" w:line="102" w:lineRule="exact"/>
              <w:rPr>
                <w:sz w:val="20"/>
                <w:szCs w:val="20"/>
                <w:color w:val="auto"/>
              </w:rPr>
            </w:pPr>
            <w:r>
              <w:rPr>
                <w:rFonts w:ascii="Arial" w:cs="Arial" w:eastAsia="Arial" w:hAnsi="Arial"/>
                <w:sz w:val="10"/>
                <w:szCs w:val="10"/>
                <w:b w:val="1"/>
                <w:bCs w:val="1"/>
                <w:color w:val="auto"/>
              </w:rPr>
              <w:t>Balance at December 31,</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288,923</w:t>
            </w:r>
          </w:p>
        </w:tc>
        <w:tc>
          <w:tcPr>
            <w:tcW w:w="1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1,953,378</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562,502</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27,270</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(46,094)</w:t>
            </w:r>
          </w:p>
        </w:tc>
        <w:tc>
          <w:tcPr>
            <w:tcW w:w="100" w:type="dxa"/>
            <w:vAlign w:val="bottom"/>
          </w:tcPr>
          <w:p>
            <w:pPr>
              <w:spacing w:after="0"/>
              <w:rPr>
                <w:sz w:val="8"/>
                <w:szCs w:val="8"/>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(217,740)</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2,325,699</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28,260</w:t>
            </w:r>
          </w:p>
        </w:tc>
        <w:tc>
          <w:tcPr>
            <w:tcW w:w="100" w:type="dxa"/>
            <w:vAlign w:val="bottom"/>
          </w:tcPr>
          <w:p>
            <w:pPr>
              <w:spacing w:after="0"/>
              <w:rPr>
                <w:sz w:val="8"/>
                <w:szCs w:val="8"/>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2,353,959</w:t>
            </w: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Arial" w:cs="Arial" w:eastAsia="Arial" w:hAnsi="Arial"/>
                <w:sz w:val="13"/>
                <w:szCs w:val="13"/>
                <w:b w:val="1"/>
                <w:bCs w:val="1"/>
                <w:color w:val="auto"/>
              </w:rPr>
              <w:t>2020</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642,995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642,995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645,607</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w w:val="88"/>
              </w:rPr>
              <w:t>Other comprehensive income</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(7,292)</w:t>
            </w:r>
          </w:p>
        </w:tc>
        <w:tc>
          <w:tcPr>
            <w:tcW w:w="100" w:type="dxa"/>
            <w:vAlign w:val="bottom"/>
          </w:tcPr>
          <w:p>
            <w:pPr>
              <w:spacing w:after="0"/>
              <w:rPr>
                <w:sz w:val="10"/>
                <w:szCs w:val="10"/>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(7,292)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(7,292)</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(loss)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Treasury stock acquired</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3"/>
              </w:rPr>
              <w:t>through surrender of shares</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Issuance of stock through</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w w:val="95"/>
              </w:rPr>
              <w:t>share-based compensation</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1,543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12,786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12,787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12,787</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plans</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10,970</w:t>
            </w:r>
          </w:p>
        </w:tc>
        <w:tc>
          <w:tcPr>
            <w:tcW w:w="0" w:type="dxa"/>
            <w:vAlign w:val="bottom"/>
          </w:tcPr>
          <w:p>
            <w:pPr>
              <w:spacing w:after="0"/>
              <w:rPr>
                <w:sz w:val="1"/>
                <w:szCs w:val="1"/>
                <w:color w:val="auto"/>
              </w:rPr>
            </w:pPr>
          </w:p>
        </w:tc>
      </w:tr>
      <w:tr>
        <w:trPr>
          <w:trHeight w:val="122"/>
        </w:trPr>
        <w:tc>
          <w:tcPr>
            <w:tcW w:w="1700" w:type="dxa"/>
            <w:vAlign w:val="bottom"/>
          </w:tcPr>
          <w:p>
            <w:pPr>
              <w:ind w:left="180"/>
              <w:spacing w:after="0" w:line="122" w:lineRule="exact"/>
              <w:rPr>
                <w:sz w:val="20"/>
                <w:szCs w:val="20"/>
                <w:color w:val="auto"/>
              </w:rPr>
            </w:pPr>
            <w:r>
              <w:rPr>
                <w:rFonts w:ascii="Arial" w:cs="Arial" w:eastAsia="Arial" w:hAnsi="Arial"/>
                <w:sz w:val="13"/>
                <w:szCs w:val="13"/>
                <w:color w:val="auto"/>
              </w:rPr>
              <w:t>Cash dividends declared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(41,558)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(41,558)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(41,558)</w:t>
            </w: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w w:val="97"/>
              </w:rPr>
              <w:t>($0.17 per common share)</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00" w:type="dxa"/>
            <w:vAlign w:val="bottom"/>
          </w:tcPr>
          <w:p>
            <w:pPr>
              <w:ind w:left="180"/>
              <w:spacing w:after="0" w:line="102" w:lineRule="exact"/>
              <w:rPr>
                <w:sz w:val="20"/>
                <w:szCs w:val="20"/>
                <w:color w:val="auto"/>
              </w:rPr>
            </w:pPr>
            <w:r>
              <w:rPr>
                <w:rFonts w:ascii="Arial" w:cs="Arial" w:eastAsia="Arial" w:hAnsi="Arial"/>
                <w:sz w:val="10"/>
                <w:szCs w:val="10"/>
                <w:b w:val="1"/>
                <w:bCs w:val="1"/>
                <w:color w:val="auto"/>
              </w:rPr>
              <w:t>Balance at December 31,</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290,466</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1,977,134</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1,163,939</w:t>
            </w:r>
          </w:p>
        </w:tc>
        <w:tc>
          <w:tcPr>
            <w:tcW w:w="10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19,978</w:t>
            </w:r>
          </w:p>
        </w:tc>
        <w:tc>
          <w:tcPr>
            <w:tcW w:w="100" w:type="dxa"/>
            <w:vAlign w:val="bottom"/>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(46,151)</w:t>
            </w:r>
          </w:p>
        </w:tc>
        <w:tc>
          <w:tcPr>
            <w:tcW w:w="10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(219,065)</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2,942,276</w:t>
            </w:r>
          </w:p>
        </w:tc>
        <w:tc>
          <w:tcPr>
            <w:tcW w:w="10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30,270</w:t>
            </w:r>
          </w:p>
        </w:tc>
        <w:tc>
          <w:tcPr>
            <w:tcW w:w="10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2,972,546</w:t>
            </w:r>
          </w:p>
        </w:tc>
        <w:tc>
          <w:tcPr>
            <w:tcW w:w="0" w:type="dxa"/>
            <w:vAlign w:val="bottom"/>
          </w:tcPr>
          <w:p>
            <w:pPr>
              <w:spacing w:after="0"/>
              <w:rPr>
                <w:sz w:val="1"/>
                <w:szCs w:val="1"/>
                <w:color w:val="auto"/>
              </w:rPr>
            </w:pPr>
          </w:p>
        </w:tc>
      </w:tr>
      <w:tr>
        <w:trPr>
          <w:trHeight w:val="153"/>
        </w:trPr>
        <w:tc>
          <w:tcPr>
            <w:tcW w:w="1700" w:type="dxa"/>
            <w:vAlign w:val="bottom"/>
          </w:tcPr>
          <w:p>
            <w:pPr>
              <w:ind w:left="180"/>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6"/>
                <w:szCs w:val="16"/>
                <w:b w:val="1"/>
                <w:bCs w:val="1"/>
                <w:color w:val="auto"/>
                <w:w w:val="92"/>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09"/>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645,607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340,499</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122,628</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563,582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510,396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524,177</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deferred debt issuance costs and premiums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25,931</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on debt retirement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8,536</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Loss (gain) on disposal of fixed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(4,477)</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6,911</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4,394</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(298,854)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(106,693)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(124,140)</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10,208</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(2,369)</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Trade accounts payable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215,646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48,786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38,670</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(33,297)</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Pension and severance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(21,535)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(12,216)</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operating lease ROU asset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(127,743)</w:t>
            </w:r>
          </w:p>
        </w:tc>
      </w:tr>
      <w:tr>
        <w:trPr>
          <w:trHeight w:val="213"/>
        </w:trPr>
        <w:tc>
          <w:tcPr>
            <w:tcW w:w="6620" w:type="dxa"/>
            <w:vAlign w:val="bottom"/>
          </w:tcPr>
          <w:p>
            <w:pPr>
              <w:ind w:left="48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131,967</w:t>
            </w:r>
          </w:p>
        </w:tc>
      </w:tr>
      <w:tr>
        <w:trPr>
          <w:trHeight w:val="219"/>
        </w:trPr>
        <w:tc>
          <w:tcPr>
            <w:tcW w:w="6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(9,223)</w:t>
            </w:r>
          </w:p>
        </w:tc>
      </w:tr>
      <w:tr>
        <w:trPr>
          <w:trHeight w:val="207"/>
        </w:trPr>
        <w:tc>
          <w:tcPr>
            <w:tcW w:w="66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1,121,295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770,033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563,850</w:t>
            </w:r>
          </w:p>
        </w:tc>
      </w:tr>
      <w:tr>
        <w:trPr>
          <w:trHeight w:val="19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for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(779,779)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(553,021)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(472,433)</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property, plant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insurance recovery for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1,538</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foreign exchange forward contracts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13,550</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for foreign exchange forward contracts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(69,835)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(15,593)</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(5,935)</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Proceeds from sale of short-term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87,273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247,081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w:t>
            </w:r>
          </w:p>
        </w:tc>
      </w:tr>
      <w:tr>
        <w:trPr>
          <w:trHeight w:val="213"/>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investing activities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13"/>
        </w:trPr>
        <w:tc>
          <w:tcPr>
            <w:tcW w:w="6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(943,879)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(638,705)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(462,489)</w:t>
            </w:r>
          </w:p>
        </w:tc>
      </w:tr>
      <w:tr>
        <w:trPr>
          <w:trHeight w:val="193"/>
        </w:trPr>
        <w:tc>
          <w:tcPr>
            <w:tcW w:w="66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facilities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272,700</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revolving credit facilities</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(332,000)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(272,700)</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short-term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51,434</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short-term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(87,353)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(52,635)</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975,575</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long-term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(316,635)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(648,514)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(862,927)</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(7,027)</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Payments of finance lease obligations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(6,574)</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stock through share-based compensation plans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11,405</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Payment of dividends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r>
      <w:tr>
        <w:trPr>
          <w:trHeight w:val="206"/>
        </w:trPr>
        <w:tc>
          <w:tcPr>
            <w:tcW w:w="66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(333,719)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108,250</w:t>
            </w: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fluctuations on cash, cash equivalents and 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w:t>
            </w:r>
          </w:p>
        </w:tc>
      </w:tr>
      <w:tr>
        <w:trPr>
          <w:trHeight w:val="206"/>
        </w:trPr>
        <w:tc>
          <w:tcPr>
            <w:tcW w:w="662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129,324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(196,335)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210,481</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702,197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898,532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688,051</w:t>
            </w: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831,521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702,197</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898,532</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center"/>
              <w:ind w:left="599"/>
              <w:spacing w:after="0"/>
              <w:rPr>
                <w:sz w:val="20"/>
                <w:szCs w:val="20"/>
                <w:color w:val="auto"/>
              </w:rPr>
            </w:pPr>
            <w:r>
              <w:rPr>
                <w:rFonts w:ascii="Arial" w:cs="Arial" w:eastAsia="Arial" w:hAnsi="Arial"/>
                <w:sz w:val="16"/>
                <w:szCs w:val="16"/>
                <w:b w:val="1"/>
                <w:bCs w:val="1"/>
                <w:color w:val="auto"/>
                <w:w w:val="91"/>
              </w:rPr>
              <w:t>For the Year Ended December 31,</w:t>
            </w:r>
          </w:p>
        </w:tc>
        <w:tc>
          <w:tcPr>
            <w:tcW w:w="1000" w:type="dxa"/>
            <w:vAlign w:val="bottom"/>
            <w:tcBorders>
              <w:bottom w:val="single" w:sz="8" w:color="auto"/>
            </w:tcBorders>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2020</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10"/>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(In thousands)</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Cash paid during the period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6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46,932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61,295</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65,992</w:t>
            </w:r>
          </w:p>
        </w:tc>
      </w:tr>
      <w:tr>
        <w:trPr>
          <w:trHeight w:val="213"/>
        </w:trPr>
        <w:tc>
          <w:tcPr>
            <w:tcW w:w="6620" w:type="dxa"/>
            <w:vAlign w:val="bottom"/>
          </w:tcPr>
          <w:p>
            <w:pPr>
              <w:ind w:left="46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24,011</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43,404</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44,495</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620" w:type="dxa"/>
            <w:vAlign w:val="bottom"/>
          </w:tcPr>
          <w:p>
            <w:pPr>
              <w:ind w:left="700"/>
              <w:spacing w:after="0"/>
              <w:rPr>
                <w:sz w:val="20"/>
                <w:szCs w:val="20"/>
                <w:color w:val="auto"/>
              </w:rPr>
            </w:pPr>
            <w:r>
              <w:rPr>
                <w:rFonts w:ascii="Arial" w:cs="Arial" w:eastAsia="Arial" w:hAnsi="Arial"/>
                <w:sz w:val="16"/>
                <w:szCs w:val="16"/>
                <w:color w:val="auto"/>
              </w:rPr>
              <w:t>Property, plant and equipment included in capital expenditures payable</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211,421</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181,376</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77,250</w:t>
            </w:r>
          </w:p>
        </w:tc>
      </w:tr>
      <w:tr>
        <w:trPr>
          <w:trHeight w:val="219"/>
        </w:trPr>
        <w:tc>
          <w:tcPr>
            <w:tcW w:w="66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Right of use assets acquired through operating lease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63,314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41,672</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60,963</w:t>
            </w:r>
          </w:p>
        </w:tc>
      </w:tr>
      <w:tr>
        <w:trPr>
          <w:trHeight w:val="213"/>
        </w:trPr>
        <w:tc>
          <w:tcPr>
            <w:tcW w:w="6620" w:type="dxa"/>
            <w:vAlign w:val="bottom"/>
          </w:tcPr>
          <w:p>
            <w:pPr>
              <w:ind w:left="700"/>
              <w:spacing w:after="0"/>
              <w:rPr>
                <w:sz w:val="20"/>
                <w:szCs w:val="20"/>
                <w:color w:val="auto"/>
              </w:rPr>
            </w:pPr>
            <w:r>
              <w:rPr>
                <w:rFonts w:ascii="Arial" w:cs="Arial" w:eastAsia="Arial" w:hAnsi="Arial"/>
                <w:sz w:val="16"/>
                <w:szCs w:val="16"/>
                <w:color w:val="auto"/>
              </w:rPr>
              <w:t>Right of use assets acquired through finance lease liabilities</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73,894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10,517</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10,835</w:t>
            </w:r>
          </w:p>
        </w:tc>
      </w:tr>
      <w:tr>
        <w:trPr>
          <w:trHeight w:val="219"/>
        </w:trPr>
        <w:tc>
          <w:tcPr>
            <w:tcW w:w="66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Dividends declared and unpaid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9,713</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Amkor was a pioneer in the outsourcing of semiconductor packaging and test services, and over the years we have built a leading position by:</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Designing and developing innovative packaging and test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Cultivating long-standing relationships with our customers, which include many of the world’s leading semiconductor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Collaborating with customers, foundries, original equipment manufacturers (“OEMs”) and equipment and material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Building expertise in high-volume manufacturing processes and developing a reputation for high quality and solid execution;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a geographically diverse operating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Focusing on strategic end markets that offer solid growth potential;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a competitive cost structure through disciplined capital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include the accounts of Amkor Technology, Inc. and our subsidiaries (“Amkor”). Our Consolidated Financial Statements reflect the elimination of all significant inter-company accounts and transactions. Our investments in variable interest entities in which we are the primary beneficiary are consolidated. We reflect the remaining portion of variable interest entities and foreign subsidiaries that are not wholly owned as noncontrolling interests.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On an ongoing basis, we evaluate our estimates, including those related to revenue recognition, income taxes, inventory and long lived assets. These estimates are based on management’s best knowledge of current events, historical experience, actions that we may undertake in the future and on various other assumptions that are believed to be reasonable under the circumstances. As a result, actual results could differ materially from these estimates and assumptions, including the impact of Covid-19 and any deterioration in the global business and economic environment. Certain prior year amounts have been reclassified to conform to current year 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variable interests in certain Philippine realty corporations in which we have a 40% ownership. We lease land and buildings in the Philippines from these entities and we are the primary beneficiary of these arrangements. As of December 31, 2021, the combined book value of the assets and liabilities associated with these Philippine realty corporations included in our Consolidated Balance Sheet was $17.2 million and $0.1 million, respectively. The impact of consolidating these variable interest entities on our Consolidated Statements of Income was not significant, and other than our lease payments, we have not provided any significant assistance or other financial support to these variable interest entities for the years ended December 31, 2021, 2020 or 2019. The creditors of the Philippine realty corporations have no recourse to our general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dollar is the functional currency of our subsidiaries other than our Japan operations. The foreign currency asset and liability amounts at these subsidiaries are remeasured into U.S. dollars at end-of-period exchange rates, except for nonmonetary items which are remeasured at historical rates. Foreign currency income and expenses are remeasured at daily exchange rates, except for expenses related to balance sheet amounts which are remeasured at historical exchange rates. Exchange gains and losses arising from remeasurement of foreign currency-denominated monetary assets and liabilities are included in other (income) expense, net in the period in which they occur.</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Japanese yen is the functional currency of our Japan operations. The asset and liability amounts of our Japan operations are translated into U.S. dollars at end-of-period exchange rates. Income and expenses are translated into U.S. dollars at the daily exchange rate. The resulting translation adjustments are reported as a component of accumulated other comprehensive income in the stockholders’ equity section of the balance sheet. Assets and liabilities denominated in a currency other than the functional currency are remeasured into the functional currency prior to translation into U.S. dollars, and the resulting transaction exchange gains or losses are included in other expense (income) in the period in which they occur.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semiconductor industry is characterized by rapid technological change, competitive pricing pressures and cyclical market patterns. Our financial results are affected by a wide variety of factors, including general economic conditions worldwide, economic conditions specific to the semiconductor industry, the timely implementation of new package and test technologies, the ability to safeguard patents and intellectual property in a rapidly evolving market and reliance on materials and equipment suppliers. In addition, the semiconductor market has historically been cyclical and subject to significant economic downturns at various times.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 significant portion of our revenues is concentrated with a small group of customers (Note 18). Direct sales to our largest customer accounted for 13.7% of our net revenue for the year ended December 31, 2021. The loss of a significant customer, a business combination among customers, a reduction in orders or decrease in price from a significant customer or disruption in any of our significant strategic partnerships or other commercial arrangements could have a material adverse effect on our business, liquidity, results of operations, financial condition and cash flows.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instruments, for which we are subject to credit risk, consist principally of accounts receivable and cash, cash equivalents and short-term investments. With respect to accounts receivable, we mitigate our credit risk by selling primarily to well-established companies, performing ongoing credit evaluations and making frequent contact with customers. In addition, we may utilize non-recourse factoring to mitigate credit risk when considered appropriate. We have historically mitigated our credit risk with respect to cash and cash equivalents through diversification of our holdings into various high quality money market funds and bank deposit accounts. Our short-term investments are principally investments in debt securities with maximum duration of eighteen months and ranges from AAA to BBB rated financial instruments. Our short-term investments are primarily in direct obligations of the US Government or its agencies, corporate bonds, asset backed securities, commercial paper, and municipal bonds. At December 31, 2021, our cash and cash equivalents were primarily maintained in various U.S. and foreign bank operating and time deposit accounts and invested in U.S. money market funds.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subject to certain legal proceedings, lawsuits and other claims, as discussed in Note 17. We accrue for a loss contingency, including legal proceedings, lawsuits, pending claims and other legal matters, when we conclude that the likelihood of a loss is probable and the amount of the loss can be reasonably estimated. When the reasonable estimate of the loss is within a range of amounts, and no amount in the range constitutes a better estimate than any other amount,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accrue for the amount at the low end of the range.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consider all highly liquid investments with a maturity of three months or less when purchased to be cash equivalents. Our cash and cash equivalents are primarily maintained in various U.S. and foreign bank operating and time deposit accounts and invested in U.S. money market funds.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current, consists of short-term cash equivalents used to collateralize our daily banking services. Restricted cash, non-current, mainly consists of collateral to fulfill foreign trade compliance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Generally, we classify our short-term investments in fixed income securities as available-for-sale debt investments. All of our available-for-sale debt investments as of December 31, 2021 are available to fund current operations and are recorded at fair value (Note 6). Unrealized gains and losses on our available-for-sale debt investments are included as a separate component of accumulated other comprehensive income (loss), net of tax. Realized gains and losses on our available-for-sale debt investments and declines in value judged to be an impairment are included in other (income) expense, net. The cost of short-term investments matured or sold is based on the average cost method.</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evaluate on an ongoing basis the market conditions, trends of earnings, financial condition, credit ratings, any underlying collateral and other key measures for our short-term investments in determining if and when a decline in value below the adjusted cost of our available-for-sale debt investments is an impairment. An impairment is considered if (i) we have the intent to sell the security, (ii) it is more likely than not that we will be required to sell the security before recovery of the entire amortized cost basis or (iii) we do not expect to recover the entire amortized cost basis of the security. If impairment is considered on condition (i) or (ii) above, the entire difference between the amortized cost and the fair value of the debt security is recognized in earnings. If impairment is considered based on condition (iii), the amount representing credit losses will be recognized in earnings and as an allowance for credit losses. The amount relating to all other factors will be recognized in other comprehensive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Inventories consist of raw materials and purchased components and are stated at the lower of cost and net realizable value. Cost is principally determined by standard cost or the weighted moving average method, both of which approximate actual cost. We review and set our standard costs as needed, but at a minimum on a quarterly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 principally of prepaid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stated at cost. Depreciation is calculated by the straight-line method over the estimated useful lives of depreciable assets which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49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10 to 40 years</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940" w:type="dxa"/>
            <w:vAlign w:val="bottom"/>
          </w:tcPr>
          <w:p>
            <w:pPr>
              <w:ind w:left="3440"/>
              <w:spacing w:after="0"/>
              <w:rPr>
                <w:sz w:val="20"/>
                <w:szCs w:val="20"/>
                <w:color w:val="auto"/>
              </w:rPr>
            </w:pPr>
            <w:r>
              <w:rPr>
                <w:rFonts w:ascii="Arial" w:cs="Arial" w:eastAsia="Arial" w:hAnsi="Arial"/>
                <w:sz w:val="18"/>
                <w:szCs w:val="18"/>
                <w:color w:val="auto"/>
              </w:rPr>
              <w:t>2 to 7 years</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computer equipment</w:t>
            </w:r>
          </w:p>
        </w:tc>
        <w:tc>
          <w:tcPr>
            <w:tcW w:w="49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3 to 5 years</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Furniture, fixtures and other equipment</w:t>
            </w:r>
          </w:p>
        </w:tc>
        <w:tc>
          <w:tcPr>
            <w:tcW w:w="4940" w:type="dxa"/>
            <w:vAlign w:val="bottom"/>
          </w:tcPr>
          <w:p>
            <w:pPr>
              <w:ind w:left="3440"/>
              <w:spacing w:after="0"/>
              <w:rPr>
                <w:sz w:val="20"/>
                <w:szCs w:val="20"/>
                <w:color w:val="auto"/>
              </w:rPr>
            </w:pPr>
            <w:r>
              <w:rPr>
                <w:rFonts w:ascii="Arial" w:cs="Arial" w:eastAsia="Arial" w:hAnsi="Arial"/>
                <w:sz w:val="18"/>
                <w:szCs w:val="18"/>
                <w:color w:val="auto"/>
              </w:rPr>
              <w:t>4 to 10 years</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Cost and accumulated depreciation for property retired or disposed of are removed from the accounts, and any resulting gain or loss is included in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amount may not be recoverable. Recoverability of a long-lived asset group to be held and used in operations is measured by a comparison of the carrying amount to the sum of the undiscounted cash flows expected to result from the use and eventual disposition of the asset group. If such asset group is considered to be impaired, the impairment loss is measured as the amount by which the carrying amount of the asset group exceeds its fair value. Long-lived assets to be disposed of are carried at the lower of cost or fair value less the costs of disposal.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lease certain machinery and equipment, office space, and manufacturing facilities. Effective January 1, 2019, we adopted the requirements of the Financial Accounting Standards Board Accounting Standards Codification 842, Leases, using the modified transition approach without restating the comparative period financial statements or disclosures. Leases with an initial term of 12 months or less are not recorded on the balance sheet, and we recognize lease expense for these leases on a straight-line basis over the lease term. We combine lease components (e.g., fixed payments including rent, real estate taxes and insurance costs) with the non-lease components (e.g., common-area maintenance costs) for all asset classes. We use our incremental borrowing rate based on the information available at the lease commencement date to determine the lease liability. Our leases have remaining lease terms ranging from less than one year to 84 years. For purposes of calculating our lease liabilities, our lease terms include options to extend or terminate the lease when it is reasonably certain that we will exercise those options. Certain leases also include options to purchase the leased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recorded when the cost of an acquisition exceeds the fair value of the net tangible and identifiable intangible assets acquired. We review goodwill for impairment annually during the fourth quarter of each year and whenever events or changes in circumstances indicate that an impairment may exist. Impairment losses are recorded when the carrying amount of the reporting unit exceeds its fair value. The balance of goodwill in our Consolidated Balance Sheets reflects adjustments for foreign currency translation.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principally of deferred tax assets, refundable security deposits and non-current prepaid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use foreign exchange forward contracts to manage exposure to foreign exchange risk which are generally settled monthly. The derivatives are recorded at the fair value either in other current assets or accrued expenses, with the associated gains and losses charged to other (income) expense, net in the period in which they occur. We do not apply hedge accounting to the derivatives. See Note 15 for further discussion about the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apply fair value accounting for assets and liabilities that are recognized or disclosed at fair value in the financial statements on a recurring or nonrecurring basis. We define fair value as the price that would be received from selling an asset or paid to transfer a liability in the principal or most advantageous market for the asset or liability in an orderly transaction between market participants at the measurement date. See Note 16 for further discussion of fair value measurements.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net of sales, use, value-added and other similar taxes, as a performance obligation is satisfied in an amount reflecting the consideration to which we expect to be entitled. We apply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our revenue is recognized as services are rendered.</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are revenues that have been recognized for performance obligations that have been satisfied, or partially satisfied, in advance of billing the customer. Revenue may be recognized in advance of billing as our contracts provide us with an unconditional right to consideration for work that is performed. Total unbilled receivables as of December 31, 2021 and 2020 were $224.7 million and $146.8 million, respectively. These amounts are included in accounts receivable, net of allowances in our Consolidated Balance Sheets.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times, the company receives cash payments from customers in advance of the company’s performance. In such cases, we record deferred revenue until the performance obligation is satisfied, which represents a contract liability and is included in accrued expenses and other non-current liabilities in the consolidated balance sheets. These contract liabilities are classified as either current or long-term based on the timing of when the company expects to recognize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Contract liabilities were $187.2 million and $51.6 million as of December 31, 2021 and December 31, 2020, respectively. As of December 31, 2021 and December 31, 2020, the short-term portion of the liability was $117.7 million and $30.3 million, respectively. The remainder of the December 31, 2021 contract liability balance is expected to be recognized in revenue over the next 1-3 years. Revenue recognized during the year that was included in the contract liability balance at the beginning of the period was $29.0 million, $14.1 million, and $16.4 million, for 2021, 2020 and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include costs attributable to the conduct of research and development programs primarily related to the development of new package designs or technologies and improving the efficiency and capabilities of our existing production processes. Such costs include salaries, payroll taxes, employee benefit costs, materials, supplies, depreciation and maintenance of research equipment, services provided by outside contractors and the allocable portions of facility costs such as rent, utilities, insurance, repairs and maintenance, depreciation and general support services. Costs associated with research and development are expensed as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basis as well as for net operating loss and tax credit carryforwards.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tax benefits will not be realized.</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 With exception of a certain foreign jurisdiction and select U.S. and foreign carryforwards, we consider it more likely than not that we will have sufficient taxable income to allow us to realize these deferred tax assets. However, in the event taxable income falls short of current expectations, we may need to establish a valuation allowance against such deferred tax assets.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in our Consolidated Financial Statements the impact of an income tax position, if that position is more likely than not of being sustained on audit, based on the technical merits of the position. Related interest and penalties are classified as income taxes in the financial statements. See Note 4 for further discussion regarding unrecognized income tax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Share-Based Compensation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2020 and 2019, we recognized share-based compensation of $11.0 million, $8.0 million and $6.9 million, respectively, primarily in selling, general and administrative expenses. The amount of compensation expense to be recognized is adjusted for an estimated forfeiture rate which is based on historical data. The corresponding deferred income tax benefits are $1.4 million, $1.3 million and $1.3 million for 2021,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Second Amended and Restated 2007 Equity Incentive Plan. </w:t>
      </w:r>
      <w:r>
        <w:rPr>
          <w:rFonts w:ascii="Arial" w:cs="Arial" w:eastAsia="Arial" w:hAnsi="Arial"/>
          <w:sz w:val="18"/>
          <w:szCs w:val="18"/>
          <w:color w:val="auto"/>
        </w:rPr>
        <w:t>The Second Amended and Restated 2007 Equity Incentive Plan (as amended, the “2007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the grant of the following types of incentive awards: (i) stock options; (ii) restricted stock; (iii) restricted stock units; (iv) stock appreciation rights; (v) performance units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and (vi) other stock or cash awards. Those eligible for awards included employees, directors and consultants who provide services to Amkor and its subsidiaries. There were originally 17.0 million shares of our common stock reserved for issuance under the 2007 Plan. No awards have been or will be granted under the 2007 Plan after the effective date of the 2021 Plan (as defined below), but all outstanding awards under the 2007 Plan will continue in full force and effect, subject to their original terms.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2021 Equity Incentive Plan. </w:t>
      </w:r>
      <w:r>
        <w:rPr>
          <w:rFonts w:ascii="Arial" w:cs="Arial" w:eastAsia="Arial" w:hAnsi="Arial"/>
          <w:sz w:val="16"/>
          <w:szCs w:val="16"/>
          <w:color w:val="auto"/>
        </w:rPr>
        <w:t>On May 18, 2021, at our 2021 Annual Meeting of Stockholders (the “2021 Annual Meeting”), our stockholders approved the</w:t>
      </w:r>
      <w:r>
        <w:rPr>
          <w:rFonts w:ascii="Arial" w:cs="Arial" w:eastAsia="Arial" w:hAnsi="Arial"/>
          <w:sz w:val="16"/>
          <w:szCs w:val="16"/>
          <w:i w:val="1"/>
          <w:iCs w:val="1"/>
          <w:color w:val="auto"/>
        </w:rPr>
        <w:t xml:space="preserve"> </w:t>
      </w:r>
      <w:r>
        <w:rPr>
          <w:rFonts w:ascii="Arial" w:cs="Arial" w:eastAsia="Arial" w:hAnsi="Arial"/>
          <w:sz w:val="16"/>
          <w:szCs w:val="16"/>
          <w:color w:val="auto"/>
        </w:rPr>
        <w:t>Amkor Technology, Inc. 2021 Equity Incentive Plan (the “2021 Plan”) to replace the 2007 Plan. The 2021 Plan provides for the grant of the following types of incentive awards: (i) stock options; (ii) restricted stock; (iii) restricted stock units; (iv) stock appreciation rights; (v) performance units and performance shares; and (vi) other stock or cash awards. Those eligible for awards include employees, directors and consultants who provide services to Amkor and its subsidiaries. The number of shares authorized and available for issuance under the 2021 Plan is 23,100,000 shares, reduced for certain awards granted under the 2007 Plan after December 31, 2020, but before May 18, 2021. There were originally 22.8 million shares of our common stock reserved for issuance under the 2021 Plan, and at December 31, 2021, there were 22.6 million shares available for grant under the 2021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Stock options are generally granted with an exercise price equal to the market price of the stock at the date of grant. Substantially all of the options granted are exercisable pursuant to a one to four year vesting schedule, and the term of the options granted is no longer than ten years. Upon option exercise, we may issue new shares of common or treasury stock.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calculate the fair value of stock options at the date of grant, we use the Black-Scholes option pricing model. Expected volatilities are based on historical performance of our stock. We also use historical data to estimate the timing and amount of option exercises and forfeitures within the valuation model. The expected term of the options is based on evaluations of historical and expected future employee exercise behavior and represents the period of time that options granted are expected to be outstanding. The risk-free interest rate for periods within the contractual life of the option is based on the U.S. Treasury yield curve in effect at the time of grant. The dividend yield is based on the annualized declared quarterly dividend rate divided by our closing stock price at the date of the grant.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 option activity for the year ended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30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1"/>
                <w:szCs w:val="11"/>
                <w:color w:val="auto"/>
              </w:rPr>
            </w:pPr>
          </w:p>
        </w:tc>
        <w:tc>
          <w:tcPr>
            <w:tcW w:w="1300" w:type="dxa"/>
            <w:vAlign w:val="bottom"/>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1"/>
                <w:szCs w:val="11"/>
                <w:color w:val="auto"/>
              </w:rPr>
            </w:pPr>
          </w:p>
        </w:tc>
        <w:tc>
          <w:tcPr>
            <w:tcW w:w="130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30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99"/>
              </w:rPr>
              <w:t>6.69 years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7"/>
              </w:rPr>
              <w:t>Fully vested at December 31, 2021 and expected to vest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2,972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0"/>
                <w:szCs w:val="10"/>
                <w:color w:val="auto"/>
              </w:rPr>
            </w:pPr>
          </w:p>
        </w:tc>
        <w:tc>
          <w:tcPr>
            <w:tcW w:w="1840" w:type="dxa"/>
            <w:vAlign w:val="bottom"/>
            <w:gridSpan w:val="2"/>
            <w:vMerge w:val="restart"/>
          </w:tcPr>
          <w:p>
            <w:pPr>
              <w:ind w:left="980"/>
              <w:spacing w:after="0"/>
              <w:rPr>
                <w:sz w:val="20"/>
                <w:szCs w:val="20"/>
                <w:color w:val="auto"/>
              </w:rPr>
            </w:pPr>
            <w:r>
              <w:rPr>
                <w:rFonts w:ascii="Arial" w:cs="Arial" w:eastAsia="Arial" w:hAnsi="Arial"/>
                <w:sz w:val="18"/>
                <w:szCs w:val="18"/>
                <w:color w:val="auto"/>
                <w:w w:val="99"/>
              </w:rPr>
              <w:t>6.66 years</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43,049</w:t>
            </w:r>
          </w:p>
        </w:tc>
        <w:tc>
          <w:tcPr>
            <w:tcW w:w="0" w:type="dxa"/>
            <w:vAlign w:val="bottom"/>
          </w:tcPr>
          <w:p>
            <w:pPr>
              <w:spacing w:after="0"/>
              <w:rPr>
                <w:sz w:val="1"/>
                <w:szCs w:val="1"/>
                <w:color w:val="auto"/>
              </w:rPr>
            </w:pPr>
          </w:p>
        </w:tc>
      </w:tr>
      <w:tr>
        <w:trPr>
          <w:trHeight w:val="203"/>
        </w:trPr>
        <w:tc>
          <w:tcPr>
            <w:tcW w:w="4440" w:type="dxa"/>
            <w:vAlign w:val="bottom"/>
          </w:tcPr>
          <w:p>
            <w:pPr>
              <w:ind w:left="260"/>
              <w:spacing w:after="0" w:line="202" w:lineRule="exact"/>
              <w:rPr>
                <w:sz w:val="20"/>
                <w:szCs w:val="20"/>
                <w:color w:val="auto"/>
              </w:rPr>
            </w:pPr>
            <w:r>
              <w:rPr>
                <w:rFonts w:ascii="Arial" w:cs="Arial" w:eastAsia="Arial" w:hAnsi="Arial"/>
                <w:sz w:val="18"/>
                <w:szCs w:val="18"/>
                <w:color w:val="auto"/>
              </w:rPr>
              <w:t>thereafter</w:t>
            </w:r>
          </w:p>
        </w:tc>
        <w:tc>
          <w:tcPr>
            <w:tcW w:w="15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7"/>
              </w:rPr>
              <w:t>5.87 years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weighted-average fair values of the options granted: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220" w:type="dxa"/>
            <w:vAlign w:val="bottom"/>
            <w:tcBorders>
              <w:bottom w:val="single" w:sz="8" w:color="auto"/>
            </w:tcBorders>
          </w:tcPr>
          <w:p>
            <w:pPr>
              <w:spacing w:after="0"/>
              <w:rPr>
                <w:sz w:val="16"/>
                <w:szCs w:val="16"/>
                <w:color w:val="auto"/>
              </w:rPr>
            </w:pPr>
          </w:p>
        </w:tc>
      </w:tr>
      <w:tr>
        <w:trPr>
          <w:trHeight w:val="187"/>
        </w:trPr>
        <w:tc>
          <w:tcPr>
            <w:tcW w:w="6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 per option granted</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4.06</w:t>
            </w: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unrecognized compensation expense from stock options was $4.7 million as of December 31, 2021, which is expected to be recognized over a weighted-average period of approximately 1.4 years beginning January 1, 2022. The total intrinsic value of options exercised during fiscal years 2021, 2020, and 2019 was $17.7 million, $8.2 million, and $6.9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During the year ended December 31, 2021, we granted restricted shares under both the 2007 Plan (with respect to grants made prior to the effective date of the 2021 Plan) and the 2021 Plan (with respect to grants made after its effective date). Restricted shares granted to our non-employee directors vest on the earlier of the one year anniversary of the grant date or the date of the annual meeting of stockholders immediately following the grant date, subject to the recipient’s continued service as a director of Amkor on the applicable vesting date. Generally, other restricted shares vest ratably over three years, with 8.33% of the shares vesting in equal quarterly installments such that 100% of the shares will become vested on the third anniversary of the award, subject to the recipient’s continued employment with us on the applicable vesting date. In addition, provided that the restricted shares have not been forfeited earlier, for certain grants, the restricted shares will vest upon the recipient’s death or disability, or upon a change in control of Amkor. The value of the restricted shares is determined based on the fair market value of the underlying shares on the date of the grant and is recognized ratably over the vesting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share activity for the year ended December 31, 2021: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Awards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Awards 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Total unrecognized compensation expense from restricted shares was $3.7 million as of December 31, 2021, which is expected to be recognized over a weighted-average period of approximately 1.5 years beginning January 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2021, but prior to the effective date of the 2021 Plan, we granted time-vested restricted stock units (“RSUs”) and performance-vested restricted stock units (“PSUs”) to certain employees under the 2007 Plan. Additionally, during year ended December 31, 2021, we granted RSUs to an employee under the 2021 Plan. RSUs generally vest in four equal installments over a four-year period such that 100% of the RSUs will become vested on the fourth anniversary of the award, subject to the recipient’s continued employment with us on the applicable vesting dates. In addition, provided that the RSUs have not been forfeited earlier, they will generally vest upon the recipient’s death or disability, or upon a change in control of Amkor, in accordance with the terms and conditions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 agreement. The value of the RSUs is determined based on the fair market value of the underlying shares on the date of the grant, reduced by the present value of dividends or dividend equivalent rights expected to be paid on our common stock prior to vesting, and is recognized ratably over the vesting period.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PSUs generally vest in one installment after a two-year period such that 100% of the PSUs will become vested within 90 days of the second anniversary of the award, subject to the recipient’s continued employment with us on the applicable vesting date. For PSUs granted in 2021, the number of shares of our common stock to be received at vesting will range from 0% to 200% of the target grant amount based on Cumulative Basic EPS (as defined in the applicable award agreement) over a two-year performance measurement period. In addition, provided the PSUs have not been forfeited earlier, the PSUs will generally vest upon the recipient’s retirement, death or disability, or upon a change of control of Amkor, in accordance with the terms and conditions of the applicable award agreement. The value of the PSUs is initially determined based on the fair market value of the underlying shares on the date of the grant, reduced by the present value of dividends expected to be paid on our common stock prior to vesting, and is recognized over the vesting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RSU and PSU activity for the year ended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780" w:type="dxa"/>
            <w:vAlign w:val="bottom"/>
            <w:gridSpan w:val="3"/>
            <w:vMerge w:val="restart"/>
          </w:tcPr>
          <w:p>
            <w:pPr>
              <w:jc w:val="center"/>
              <w:ind w:right="150"/>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36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780" w:type="dxa"/>
            <w:vAlign w:val="bottom"/>
            <w:gridSpan w:val="3"/>
          </w:tcPr>
          <w:p>
            <w:pPr>
              <w:jc w:val="center"/>
              <w:ind w:right="150"/>
              <w:spacing w:after="0" w:line="135" w:lineRule="exact"/>
              <w:rPr>
                <w:sz w:val="20"/>
                <w:szCs w:val="20"/>
                <w:color w:val="auto"/>
              </w:rPr>
            </w:pPr>
            <w:r>
              <w:rPr>
                <w:rFonts w:ascii="Arial" w:cs="Arial" w:eastAsia="Arial" w:hAnsi="Arial"/>
                <w:sz w:val="14"/>
                <w:szCs w:val="14"/>
                <w:b w:val="1"/>
                <w:bCs w:val="1"/>
                <w:color w:val="auto"/>
                <w:w w:val="89"/>
              </w:rPr>
              <w:t>Shares</w:t>
            </w:r>
          </w:p>
        </w:tc>
        <w:tc>
          <w:tcPr>
            <w:tcW w:w="136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8100" w:type="dxa"/>
            <w:vAlign w:val="bottom"/>
          </w:tcPr>
          <w:p>
            <w:pPr>
              <w:spacing w:after="0"/>
              <w:rPr>
                <w:sz w:val="16"/>
                <w:szCs w:val="16"/>
                <w:color w:val="auto"/>
              </w:rPr>
            </w:pPr>
          </w:p>
        </w:tc>
        <w:tc>
          <w:tcPr>
            <w:tcW w:w="178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24"/>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Awards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Awards vested</w:t>
            </w:r>
          </w:p>
        </w:tc>
        <w:tc>
          <w:tcPr>
            <w:tcW w:w="178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Awards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unrecognized compensation expense from RSUs and PSUs was $5.5 million as of December 31, 2021, which is expected to be recognized over a weighted-average period of approximately 1.9 years beginning January 1, 2022.</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Other Income and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consists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93"/>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4"/>
              </w:rPr>
              <w:t>(6,655)</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Foreign currency (gain) loss, net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center"/>
              <w:ind w:left="473"/>
              <w:spacing w:after="0"/>
              <w:rPr>
                <w:sz w:val="20"/>
                <w:szCs w:val="20"/>
                <w:color w:val="auto"/>
              </w:rPr>
            </w:pPr>
            <w:r>
              <w:rPr>
                <w:rFonts w:ascii="Arial" w:cs="Arial" w:eastAsia="Arial" w:hAnsi="Arial"/>
                <w:sz w:val="18"/>
                <w:szCs w:val="18"/>
                <w:color w:val="auto"/>
                <w:w w:val="88"/>
              </w:rPr>
              <w:t>1,944</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retirement</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73"/>
              <w:spacing w:after="0"/>
              <w:rPr>
                <w:sz w:val="20"/>
                <w:szCs w:val="20"/>
                <w:color w:val="auto"/>
              </w:rPr>
            </w:pPr>
            <w:r>
              <w:rPr>
                <w:rFonts w:ascii="Arial" w:cs="Arial" w:eastAsia="Arial" w:hAnsi="Arial"/>
                <w:sz w:val="18"/>
                <w:szCs w:val="18"/>
                <w:color w:val="auto"/>
                <w:w w:val="88"/>
              </w:rPr>
              <w:t>8,536</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53"/>
              <w:spacing w:after="0"/>
              <w:rPr>
                <w:sz w:val="20"/>
                <w:szCs w:val="20"/>
                <w:color w:val="auto"/>
              </w:rPr>
            </w:pPr>
            <w:r>
              <w:rPr>
                <w:rFonts w:ascii="Arial" w:cs="Arial" w:eastAsia="Arial" w:hAnsi="Arial"/>
                <w:sz w:val="18"/>
                <w:szCs w:val="18"/>
                <w:color w:val="auto"/>
                <w:w w:val="94"/>
              </w:rPr>
              <w:t>(2,052)</w:t>
            </w: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(income) expense, net</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88"/>
              </w:rPr>
              <w:t>1,773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Geographic sources of income (loss) before taxes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5"/>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158,672</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the provision (benefit) for income taxes are as follows: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center"/>
              <w:ind w:left="675"/>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25,931</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between the U.S. federal statutory income tax rate of 21% for 2021, 2020 and 2019 and our income tax expense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income taxed at different rates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Foreign exchange (loss) gain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benefits related to share-based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18,374</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related to prior years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Income tax credits generated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(9,006)</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earnings and profits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Foreign derived intangible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(3,195)</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of net operating losses and credits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Settlements and changes in uncertain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37,182</w:t>
            </w:r>
          </w:p>
        </w:tc>
      </w:tr>
      <w:tr>
        <w:trPr>
          <w:trHeight w:val="21"/>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recorded a valuation allowance against our interest expense carryforward due to the limitation of deductibility of interest expense under current tax law. Realization of the carryforward is dependent on generating sufficient taxable income to overcome the interest limitation provisions. Although utilization of this carryforward is not assured, in light of our current earnings and recent estimates of future taxable income, management believes sufficient positive evidence existed to conclude that the valuation allowance is no longer needed and reversed the $12.4 million valuation allowance in 2020.</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certain capital investments, export commitments and employment levels, income from operations in Korea, the Philippines and Singapore was subject to reduced income tax rates and, in some cases, was exempt from income taxes. We recognized $56.7 million, $27.6 million and $14.7 million in tax benefits as a result of the tax holidays in 2021, 2020 and 2019, respectively. The benefit of the tax holidays on diluted earnings per share was approximately $0.23, $0.11 and $0.06 for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deferred tax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36,326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24,791</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credits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93,056</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25,342</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57,586</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33,295</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Unrealized foreign exchange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5,603</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11,741</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282,063</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(122,357)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(121,310)</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160,753</w:t>
            </w:r>
          </w:p>
        </w:tc>
      </w:tr>
      <w:tr>
        <w:trPr>
          <w:trHeight w:val="209"/>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28,440</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Deferred gain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11,907</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foreign exchange 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Unbilled receivables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72,216</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88,537</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Recognized as: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83,596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95,045</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88,537</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against deferred tax assets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2"/>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2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U.S.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61,074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62,820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58,490</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Total valuation allowance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122,357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121,310</w:t>
            </w:r>
          </w:p>
        </w:tc>
        <w:tc>
          <w:tcPr>
            <w:tcW w:w="0" w:type="dxa"/>
            <w:vAlign w:val="bottom"/>
          </w:tcPr>
          <w:p>
            <w:pPr>
              <w:spacing w:after="0"/>
              <w:rPr>
                <w:sz w:val="1"/>
                <w:szCs w:val="1"/>
                <w:color w:val="auto"/>
              </w:rPr>
            </w:pPr>
          </w:p>
        </w:tc>
      </w:tr>
      <w:tr>
        <w:trPr>
          <w:trHeight w:val="21"/>
        </w:trPr>
        <w:tc>
          <w:tcPr>
            <w:tcW w:w="6480" w:type="dxa"/>
            <w:vAlign w:val="bottom"/>
            <w:vMerge w:val="restart"/>
          </w:tcPr>
          <w:p>
            <w:pPr>
              <w:spacing w:after="0"/>
              <w:rPr>
                <w:sz w:val="20"/>
                <w:szCs w:val="20"/>
                <w:color w:val="auto"/>
              </w:rPr>
            </w:pPr>
            <w:r>
              <w:rPr>
                <w:rFonts w:ascii="Arial" w:cs="Arial" w:eastAsia="Arial" w:hAnsi="Arial"/>
                <w:sz w:val="18"/>
                <w:szCs w:val="18"/>
                <w:color w:val="auto"/>
              </w:rPr>
              <w:t>Our net operating loss carryforwards (“NOLs”) are as follows:</w:t>
            </w: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NOLs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21,388</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right="275"/>
              <w:spacing w:after="0"/>
              <w:rPr>
                <w:sz w:val="20"/>
                <w:szCs w:val="20"/>
                <w:color w:val="auto"/>
              </w:rPr>
            </w:pPr>
            <w:r>
              <w:rPr>
                <w:rFonts w:ascii="Arial" w:cs="Arial" w:eastAsia="Arial" w:hAnsi="Arial"/>
                <w:sz w:val="18"/>
                <w:szCs w:val="18"/>
                <w:color w:val="auto"/>
                <w:w w:val="90"/>
              </w:rPr>
              <w:t>2022-2024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U.S. State NOLs</w:t>
            </w:r>
          </w:p>
        </w:tc>
        <w:tc>
          <w:tcPr>
            <w:tcW w:w="36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55,694</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center"/>
              <w:ind w:right="275"/>
              <w:spacing w:after="0"/>
              <w:rPr>
                <w:sz w:val="20"/>
                <w:szCs w:val="20"/>
                <w:color w:val="auto"/>
              </w:rPr>
            </w:pPr>
            <w:r>
              <w:rPr>
                <w:rFonts w:ascii="Arial" w:cs="Arial" w:eastAsia="Arial" w:hAnsi="Arial"/>
                <w:sz w:val="18"/>
                <w:szCs w:val="18"/>
                <w:color w:val="auto"/>
                <w:w w:val="90"/>
              </w:rPr>
              <w:t>2022-2038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NOLs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155,323</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275"/>
              <w:spacing w:after="0"/>
              <w:rPr>
                <w:sz w:val="20"/>
                <w:szCs w:val="20"/>
                <w:color w:val="auto"/>
              </w:rPr>
            </w:pPr>
            <w:r>
              <w:rPr>
                <w:rFonts w:ascii="Arial" w:cs="Arial" w:eastAsia="Arial" w:hAnsi="Arial"/>
                <w:sz w:val="18"/>
                <w:szCs w:val="18"/>
                <w:color w:val="auto"/>
                <w:w w:val="90"/>
              </w:rPr>
              <w:t>2022-2031</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and 2020, a portion of our remaining U.S. federal net operating loss carryforward was reserved with a valuation allowance due to ownership change limitations from a prior year acquisition as well as certain state net operating loss carryforwards expected to expire unused. Also, we have a valuation allowance against a foreign net operating loss carryforward that we do not expect to have sufficient taxable income to realize as of December 31,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tax credit carryforwards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8"/>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Expiration</w:t>
            </w:r>
          </w:p>
        </w:tc>
      </w:tr>
      <w:tr>
        <w:trPr>
          <w:trHeight w:val="183"/>
        </w:trPr>
        <w:tc>
          <w:tcPr>
            <w:tcW w:w="6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Foreign Tax Credits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7"/>
              </w:rPr>
              <w:t>57,247</w:t>
            </w:r>
          </w:p>
        </w:tc>
        <w:tc>
          <w:tcPr>
            <w:tcW w:w="10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70,265</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2026-2031</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U.S. Other Tax Credits</w:t>
            </w:r>
          </w:p>
        </w:tc>
        <w:tc>
          <w:tcPr>
            <w:tcW w:w="94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138</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2026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7"/>
              </w:rPr>
              <w:t>35,872</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22,623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2022-2031</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and 2020, a portion of our U.S. and foreign tax credit carryforwards were reserved with a valuation allowance for the amount expected to expire unused.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Distributions of cash to the U.S. as dividends generally will not be subject to U.S. federal income tax. We have not provided foreign withholding taxes or state income taxes on the undistributed earnings of our foreign subsidiaries, over which we have sufficient influence to control the distribution of such earnings and have determined that substantially all such earnings have been reinvested indefinitely. These earnings could become subject to foreign withholding tax if they are remitted as dividends. For the year ended December 31, 2021, we estimate that repatriation of these foreign earnings would generate withholding taxes and state income taxes of approximately $132.0 million.</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and file income tax returns in various U.S. and foreign jurisdictions which are subject to examination by tax authorities. We have tax returns that are open to examination in various jurisdictions for tax years 2011-2021. The open years contain matters that could be subject to differing interpretations of applicable tax laws and regulations related to the amount and/or timing of income, deductions and tax credits. There can be no assurance that the outcome of examinations will be favorable. Our unrecognized tax benefits are subject to change as examinations of specific tax years are completed in the respective jurisdictions. In certain circumstances where we elect to appeal the results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examination, we may be required to make tax assessment payments to proceed with the administrative appeal process. Current examinations include 2017-2020 Japan income tax returns, 2015-2020 Malaysia income tax returns, 2018-2020 Philippine income tax returns and our 2016 and 2018 Singapore income tax returns.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gross amount of unrecognized tax benefits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92"/>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32,598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25,268</w:t>
            </w: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8,944</w:t>
            </w: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for tax positions of prior years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Reductions for tax positions of prior years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(4,539)</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related to settlements with tax authorities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29"/>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Reductions from lapse of statutes of limitations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net increase in our unrecognized tax benefits was $4.7 million from December 31, 2020 to December 31, 2021. The increase was primarily related to income attribution offset by decreases from the lapse of statutes of limitations. At December 31, 2021, all of our gross unrecognized tax benefits would reduce our effective tax rate, if recognized. It is reasonably possible that unrecognized tax benefits related to income attribution and withholding taxes will decrease in the next 12 months by up to $0.9 million due to the lapse of statutes of limitations in foreign jurisdictions.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related to our unrecognized tax benefits, before interest and penalties, is $32.9 million as of December 31, 2021 and is reported as a component of other non-current liabilities. The unrecognized tax benefits presented in the table above also include positions that have reduced deferred tax assets. The balance of accrued and unpaid interest and penalties is $5.5 million and $4.7 million as of December 31, 2021 and 2020, respectively, and is included as a component of other non-current liabilities in connection with our unrecognized tax benefits.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Earnings Per Share</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Diluted EPS is computed based on the weighted-average number of common shares outstanding plus the effect of dilutive potential common shares outstanding during the period. Dilutive potential common shares include outstanding stock options, PSUs, RSUs and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computations of basic and diluted EPS: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For the Year Ended December 31,</w:t>
            </w:r>
          </w:p>
        </w:tc>
        <w:tc>
          <w:tcPr>
            <w:tcW w:w="106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gridSpan w:val="6"/>
          </w:tcPr>
          <w:p>
            <w:pPr>
              <w:jc w:val="center"/>
              <w:ind w:left="616"/>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60" w:type="dxa"/>
            <w:vAlign w:val="bottom"/>
          </w:tcPr>
          <w:p>
            <w:pPr>
              <w:spacing w:after="0"/>
              <w:rPr>
                <w:sz w:val="15"/>
                <w:szCs w:val="15"/>
                <w:color w:val="auto"/>
              </w:rPr>
            </w:pPr>
          </w:p>
        </w:tc>
      </w:tr>
      <w:tr>
        <w:trPr>
          <w:trHeight w:val="25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 common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120,888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 — 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239,725</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3"/>
        </w:trPr>
        <w:tc>
          <w:tcPr>
            <w:tcW w:w="6480" w:type="dxa"/>
            <w:vAlign w:val="bottom"/>
          </w:tcPr>
          <w:p>
            <w:pPr>
              <w:ind w:left="480"/>
              <w:spacing w:after="0"/>
              <w:rPr>
                <w:sz w:val="20"/>
                <w:szCs w:val="20"/>
                <w:color w:val="auto"/>
              </w:rPr>
            </w:pPr>
            <w:r>
              <w:rPr>
                <w:rFonts w:ascii="Arial" w:cs="Arial" w:eastAsia="Arial" w:hAnsi="Arial"/>
                <w:sz w:val="18"/>
                <w:szCs w:val="18"/>
                <w:color w:val="auto"/>
              </w:rPr>
              <w:t>Weighted-average number of common shares outstanding — diluted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245,704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242,248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240,122</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attributable to Amkor per common share: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81"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60" w:type="dxa"/>
            <w:vAlign w:val="bottom"/>
          </w:tcPr>
          <w:p>
            <w:pPr>
              <w:jc w:val="center"/>
              <w:ind w:right="322"/>
              <w:spacing w:after="0"/>
              <w:rPr>
                <w:sz w:val="20"/>
                <w:szCs w:val="20"/>
                <w:color w:val="auto"/>
              </w:rPr>
            </w:pPr>
            <w:r>
              <w:rPr>
                <w:rFonts w:ascii="Arial" w:cs="Arial" w:eastAsia="Arial" w:hAnsi="Arial"/>
                <w:sz w:val="14"/>
                <w:szCs w:val="14"/>
                <w:b w:val="1"/>
                <w:bCs w:val="1"/>
                <w:color w:val="auto"/>
                <w:w w:val="91"/>
              </w:rPr>
              <w:t>(In thousands)</w:t>
            </w:r>
          </w:p>
        </w:tc>
        <w:tc>
          <w:tcPr>
            <w:tcW w:w="1300" w:type="dxa"/>
            <w:vAlign w:val="bottom"/>
          </w:tcPr>
          <w:p>
            <w:pPr>
              <w:spacing w:after="0"/>
              <w:rPr>
                <w:sz w:val="15"/>
                <w:szCs w:val="15"/>
                <w:color w:val="auto"/>
              </w:rPr>
            </w:pPr>
          </w:p>
        </w:tc>
      </w:tr>
      <w:tr>
        <w:trPr>
          <w:trHeight w:val="231"/>
        </w:trPr>
        <w:tc>
          <w:tcPr>
            <w:tcW w:w="7520" w:type="dxa"/>
            <w:vAlign w:val="bottom"/>
            <w:gridSpan w:val="2"/>
            <w:shd w:val="clear" w:color="auto" w:fill="CCEEFF"/>
          </w:tcPr>
          <w:p>
            <w:pPr>
              <w:jc w:val="right"/>
              <w:ind w:right="5988"/>
              <w:spacing w:after="0"/>
              <w:rPr>
                <w:sz w:val="20"/>
                <w:szCs w:val="20"/>
                <w:color w:val="auto"/>
              </w:rPr>
            </w:pPr>
            <w:r>
              <w:rPr>
                <w:rFonts w:ascii="Arial" w:cs="Arial" w:eastAsia="Arial" w:hAnsi="Arial"/>
                <w:sz w:val="18"/>
                <w:szCs w:val="18"/>
                <w:color w:val="auto"/>
                <w:w w:val="86"/>
              </w:rPr>
              <w:t>Share-based awards</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112</w:t>
            </w:r>
          </w:p>
        </w:tc>
        <w:tc>
          <w:tcPr>
            <w:tcW w:w="17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2,412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equivalents and available-for-sale debt investments: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9"/>
              </w:rPr>
              <w:t>Gross Unrealized</w:t>
            </w:r>
          </w:p>
        </w:tc>
        <w:tc>
          <w:tcPr>
            <w:tcW w:w="1280" w:type="dxa"/>
            <w:vAlign w:val="bottom"/>
            <w:gridSpan w:val="3"/>
          </w:tcPr>
          <w:p>
            <w:pPr>
              <w:ind w:left="40"/>
              <w:spacing w:after="0" w:line="118" w:lineRule="exact"/>
              <w:rPr>
                <w:sz w:val="20"/>
                <w:szCs w:val="20"/>
                <w:color w:val="auto"/>
              </w:rPr>
            </w:pPr>
            <w:r>
              <w:rPr>
                <w:rFonts w:ascii="Arial" w:cs="Arial" w:eastAsia="Arial" w:hAnsi="Arial"/>
                <w:sz w:val="13"/>
                <w:szCs w:val="13"/>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09"/>
        </w:trPr>
        <w:tc>
          <w:tcPr>
            <w:tcW w:w="35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269,251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269,251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cash equivalents (2)</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284,166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30,691</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178,826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178,826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247,259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246,830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231,796</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530,996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242,711</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9"/>
              </w:rPr>
              <w:t>Gross Unrealized</w:t>
            </w:r>
          </w:p>
        </w:tc>
        <w:tc>
          <w:tcPr>
            <w:tcW w:w="1280" w:type="dxa"/>
            <w:vAlign w:val="bottom"/>
            <w:gridSpan w:val="3"/>
          </w:tcPr>
          <w:p>
            <w:pPr>
              <w:ind w:left="60"/>
              <w:spacing w:after="0" w:line="118" w:lineRule="exact"/>
              <w:rPr>
                <w:sz w:val="20"/>
                <w:szCs w:val="20"/>
                <w:color w:val="auto"/>
              </w:rPr>
            </w:pPr>
            <w:r>
              <w:rPr>
                <w:rFonts w:ascii="Arial" w:cs="Arial" w:eastAsia="Arial" w:hAnsi="Arial"/>
                <w:sz w:val="13"/>
                <w:szCs w:val="13"/>
                <w:b w:val="1"/>
                <w:bCs w:val="1"/>
                <w:color w:val="auto"/>
              </w:rPr>
              <w:t>Gross Unrealized</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Fair Value</w:t>
            </w:r>
          </w:p>
        </w:tc>
        <w:tc>
          <w:tcPr>
            <w:tcW w:w="24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0"/>
                <w:szCs w:val="10"/>
                <w:color w:val="auto"/>
              </w:rPr>
            </w:pPr>
          </w:p>
        </w:tc>
        <w:tc>
          <w:tcPr>
            <w:tcW w:w="9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80"/>
              <w:spacing w:after="0"/>
              <w:rPr>
                <w:sz w:val="20"/>
                <w:szCs w:val="20"/>
                <w:color w:val="auto"/>
              </w:rPr>
            </w:pPr>
            <w:r>
              <w:rPr>
                <w:rFonts w:ascii="Arial" w:cs="Arial" w:eastAsia="Arial" w:hAnsi="Arial"/>
                <w:sz w:val="14"/>
                <w:szCs w:val="14"/>
                <w:b w:val="1"/>
                <w:bCs w:val="1"/>
                <w:color w:val="auto"/>
                <w:w w:val="95"/>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Certificate of deposits</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cash equivalents</w:t>
            </w: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146,703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Certificate of deposits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50,775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U.S. government agency bonds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short-term investments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129,123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106,469</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275,826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263"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spacing w:after="0" w:line="129"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years ended December 31, 2021 and 2020, we sold cash equivalent investments for proceeds of $12.8 million and $27.1 million, respectively, and realized no gain or loss on such sales.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contractual maturities of our cash equivalents and available-for-sale debt investments as of December 31,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1 year</w:t>
            </w:r>
          </w:p>
        </w:tc>
        <w:tc>
          <w:tcPr>
            <w:tcW w:w="1680" w:type="dxa"/>
            <w:vAlign w:val="bottom"/>
            <w:shd w:val="clear" w:color="auto" w:fill="CCEEFF"/>
          </w:tcPr>
          <w:p>
            <w:pPr>
              <w:jc w:val="right"/>
              <w:ind w:right="147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489,384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489,057</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After 1 year through 5 years</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40,595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40,489</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5 years through 10 years</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10 years</w:t>
            </w:r>
          </w:p>
        </w:tc>
        <w:tc>
          <w:tcPr>
            <w:tcW w:w="1680" w:type="dxa"/>
            <w:vAlign w:val="bottom"/>
            <w:tcBorders>
              <w:bottom w:val="single" w:sz="8" w:color="auto"/>
            </w:tcBorders>
          </w:tcPr>
          <w:p>
            <w:pPr>
              <w:jc w:val="right"/>
              <w:ind w:right="147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ind w:right="147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531,430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530,996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maturities can differ from contractual maturities due to various factors including whether the issuers have the right to call or prepay obligations without call or prepayment penalties, and we view our available-for-sale debt investments as available for current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December 31, 2020, the amortized cost and fair market value of our held-to-maturity government bonds (Level 1) maturing within a year were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Factoring of Accounts Receivable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year ended December 31, 2021 and 2020, we sold accounts receivable totaling $464.4 million and $499.3 million, net of discounts and fees of $1.2 million and $2.9 million,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Property, Plant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218,140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221,304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1,711,560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1,625,355</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6,277,684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5,736,797</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Finance lease machinery and equipment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105,294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40,856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Software and computer equipment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232,251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231,171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48,602</w:t>
            </w:r>
          </w:p>
        </w:tc>
        <w:tc>
          <w:tcPr>
            <w:tcW w:w="0" w:type="dxa"/>
            <w:vAlign w:val="bottom"/>
          </w:tcPr>
          <w:p>
            <w:pPr>
              <w:spacing w:after="0"/>
              <w:rPr>
                <w:sz w:val="1"/>
                <w:szCs w:val="1"/>
                <w:color w:val="auto"/>
              </w:rPr>
            </w:pPr>
          </w:p>
        </w:tc>
      </w:tr>
      <w:tr>
        <w:trPr>
          <w:trHeight w:val="223"/>
        </w:trPr>
        <w:tc>
          <w:tcPr>
            <w:tcW w:w="648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8,641,716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7,924,859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(5,770,658)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(5,358,857)</w:t>
            </w:r>
          </w:p>
        </w:tc>
        <w:tc>
          <w:tcPr>
            <w:tcW w:w="0" w:type="dxa"/>
            <w:vAlign w:val="bottom"/>
          </w:tcPr>
          <w:p>
            <w:pPr>
              <w:spacing w:after="0"/>
              <w:rPr>
                <w:sz w:val="1"/>
                <w:szCs w:val="1"/>
                <w:color w:val="auto"/>
              </w:rPr>
            </w:pPr>
          </w:p>
        </w:tc>
      </w:tr>
      <w:tr>
        <w:trPr>
          <w:trHeight w:val="223"/>
        </w:trPr>
        <w:tc>
          <w:tcPr>
            <w:tcW w:w="6480" w:type="dxa"/>
            <w:vAlign w:val="bottom"/>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2,871,058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2,566,002</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The following table summarizes our depreciation expense:</w:t>
            </w: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left="562"/>
              <w:spacing w:after="0"/>
              <w:rPr>
                <w:sz w:val="20"/>
                <w:szCs w:val="20"/>
                <w:color w:val="auto"/>
              </w:rPr>
            </w:pPr>
            <w:r>
              <w:rPr>
                <w:rFonts w:ascii="Arial" w:cs="Arial" w:eastAsia="Arial" w:hAnsi="Arial"/>
                <w:sz w:val="14"/>
                <w:szCs w:val="14"/>
                <w:b w:val="1"/>
                <w:bCs w:val="1"/>
                <w:color w:val="auto"/>
                <w:w w:val="93"/>
              </w:rPr>
              <w:t>For the 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562,962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83"/>
        </w:trPr>
        <w:tc>
          <w:tcPr>
            <w:tcW w:w="6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64,902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r>
      <w:tr>
        <w:trPr>
          <w:trHeight w:val="22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r>
      <w:tr>
        <w:trPr>
          <w:trHeight w:val="22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finance lease cost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16,964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8,927</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Net lease cost</w:t>
            </w: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95,539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62,075</w:t>
            </w:r>
          </w:p>
        </w:tc>
      </w:tr>
      <w:tr>
        <w:trPr>
          <w:trHeight w:val="21"/>
        </w:trPr>
        <w:tc>
          <w:tcPr>
            <w:tcW w:w="6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w:t>
      </w:r>
    </w:p>
    <w:p>
      <w:pPr>
        <w:spacing w:after="0" w:line="149"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4"/>
              </w:rPr>
              <w:t>For the Year Ended December 31,</w:t>
            </w:r>
          </w:p>
        </w:tc>
        <w:tc>
          <w:tcPr>
            <w:tcW w:w="1220" w:type="dxa"/>
            <w:vAlign w:val="bottom"/>
            <w:tcBorders>
              <w:bottom w:val="single" w:sz="8" w:color="auto"/>
            </w:tcBorders>
          </w:tcPr>
          <w:p>
            <w:pPr>
              <w:spacing w:after="0"/>
              <w:rPr>
                <w:sz w:val="16"/>
                <w:szCs w:val="16"/>
                <w:color w:val="auto"/>
              </w:rPr>
            </w:pPr>
          </w:p>
        </w:tc>
      </w:tr>
      <w:tr>
        <w:trPr>
          <w:trHeight w:val="187"/>
        </w:trPr>
        <w:tc>
          <w:tcPr>
            <w:tcW w:w="5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11"/>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Flows Information (in thousands)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64,786</w:t>
            </w: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53,323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39,870</w:t>
            </w: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893</w:t>
            </w:r>
          </w:p>
        </w:tc>
      </w:tr>
      <w:tr>
        <w:trPr>
          <w:trHeight w:val="23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6,574</w:t>
            </w:r>
          </w:p>
        </w:tc>
      </w:tr>
    </w:tbl>
    <w:p>
      <w:pPr>
        <w:spacing w:after="0" w:line="2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(years)</w:t>
            </w:r>
          </w:p>
        </w:tc>
        <w:tc>
          <w:tcPr>
            <w:tcW w:w="2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8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640" w:type="dxa"/>
            <w:vAlign w:val="bottom"/>
          </w:tcPr>
          <w:p>
            <w:pPr>
              <w:jc w:val="right"/>
              <w:ind w:right="550"/>
              <w:spacing w:after="0"/>
              <w:rPr>
                <w:sz w:val="20"/>
                <w:szCs w:val="20"/>
                <w:color w:val="auto"/>
              </w:rPr>
            </w:pPr>
            <w:r>
              <w:rPr>
                <w:rFonts w:ascii="Arial" w:cs="Arial" w:eastAsia="Arial" w:hAnsi="Arial"/>
                <w:sz w:val="18"/>
                <w:szCs w:val="18"/>
                <w:color w:val="auto"/>
              </w:rPr>
              <w:t>3.2</w:t>
            </w: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3.9</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26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3.1</w:t>
            </w:r>
          </w:p>
        </w:tc>
        <w:tc>
          <w:tcPr>
            <w:tcW w:w="17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3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640" w:type="dxa"/>
            <w:vAlign w:val="bottom"/>
          </w:tcPr>
          <w:p>
            <w:pPr>
              <w:jc w:val="right"/>
              <w:ind w:right="550"/>
              <w:spacing w:after="0"/>
              <w:rPr>
                <w:sz w:val="20"/>
                <w:szCs w:val="20"/>
                <w:color w:val="auto"/>
              </w:rPr>
            </w:pPr>
            <w:r>
              <w:rPr>
                <w:rFonts w:ascii="Arial" w:cs="Arial" w:eastAsia="Arial" w:hAnsi="Arial"/>
                <w:sz w:val="18"/>
                <w:szCs w:val="18"/>
                <w:color w:val="auto"/>
              </w:rPr>
              <w:t>3.6 %</w:t>
            </w: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4.0 %</w:t>
            </w:r>
          </w:p>
        </w:tc>
        <w:tc>
          <w:tcPr>
            <w:tcW w:w="110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26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3.2 %</w:t>
            </w:r>
          </w:p>
        </w:tc>
        <w:tc>
          <w:tcPr>
            <w:tcW w:w="17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4.0 %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 2021</w:t>
            </w:r>
          </w:p>
        </w:tc>
        <w:tc>
          <w:tcPr>
            <w:tcW w:w="1840" w:type="dxa"/>
            <w:vAlign w:val="bottom"/>
            <w:tcBorders>
              <w:bottom w:val="single" w:sz="8" w:color="auto"/>
            </w:tcBorders>
          </w:tcPr>
          <w:p>
            <w:pPr>
              <w:spacing w:after="0"/>
              <w:rPr>
                <w:sz w:val="16"/>
                <w:szCs w:val="16"/>
                <w:color w:val="auto"/>
              </w:rPr>
            </w:pPr>
          </w:p>
        </w:tc>
      </w:tr>
      <w:tr>
        <w:trPr>
          <w:trHeight w:val="187"/>
        </w:trPr>
        <w:tc>
          <w:tcPr>
            <w:tcW w:w="612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99"/>
              </w:rPr>
              <w:t>Finance Leases</w:t>
            </w:r>
          </w:p>
        </w:tc>
      </w:tr>
      <w:tr>
        <w:trPr>
          <w:trHeight w:val="183"/>
        </w:trPr>
        <w:tc>
          <w:tcPr>
            <w:tcW w:w="6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8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5"/>
                <w:szCs w:val="15"/>
                <w:color w:val="auto"/>
              </w:rPr>
            </w:pPr>
          </w:p>
        </w:tc>
      </w:tr>
      <w:tr>
        <w:trPr>
          <w:trHeight w:val="231"/>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0" w:type="dxa"/>
            <w:vAlign w:val="bottom"/>
            <w:shd w:val="clear" w:color="auto" w:fill="CCEEFF"/>
          </w:tcPr>
          <w:p>
            <w:pPr>
              <w:jc w:val="right"/>
              <w:ind w:right="15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68,653</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33,208</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2023</w:t>
            </w:r>
          </w:p>
        </w:tc>
        <w:tc>
          <w:tcPr>
            <w:tcW w:w="1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45,762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30,656</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2025</w:t>
            </w:r>
          </w:p>
        </w:tc>
        <w:tc>
          <w:tcPr>
            <w:tcW w:w="1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9,122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2,081</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r>
      <w:tr>
        <w:trPr>
          <w:trHeight w:val="223"/>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future minimum lease payments</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158,697</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89,608</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(10,527)</w:t>
            </w: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w:t>
            </w:r>
          </w:p>
        </w:tc>
      </w:tr>
      <w:tr>
        <w:trPr>
          <w:trHeight w:val="248"/>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15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148,170</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have entered into additional lease agreements that have not yet commenced of approximately $48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143,383</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and customer advances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117,741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30,269</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26,602</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Short-term finance lease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12,634</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Accrued severance plan obligations (Note 12)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10,837</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64,967</w:t>
            </w:r>
          </w:p>
        </w:tc>
      </w:tr>
      <w:tr>
        <w:trPr>
          <w:trHeight w:val="223"/>
        </w:trPr>
        <w:tc>
          <w:tcPr>
            <w:tcW w:w="8100" w:type="dxa"/>
            <w:vAlign w:val="bottom"/>
          </w:tcPr>
          <w:p>
            <w:pPr>
              <w:ind w:left="22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422,892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299,459</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and long-term debt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Amkor Technology, Inc.:</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6.625% Senior notes, due September 2027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29"/>
        </w:trPr>
        <w:tc>
          <w:tcPr>
            <w:tcW w:w="8100" w:type="dxa"/>
            <w:vAlign w:val="bottom"/>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subsidiaries: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Amkor Technology Korea, Inc.:</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$30 million revolving credit facility, applicable bank rate plus 1.11% (1)</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Term loan, applicable bank rate plus 1.77%, due April 2023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51,541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fixed rate at 1.85%, due April 2024 (2)</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Term loan, applicable bank rate plus 1.98%, due December 2028 (3)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fixed rate at 2.12%, due December 2028 (4)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Amkor Technology Japan, Inc.:</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Short-term term loans, variable rate (5)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29"/>
        </w:trPr>
        <w:tc>
          <w:tcPr>
            <w:tcW w:w="8100" w:type="dxa"/>
            <w:vAlign w:val="bottom"/>
          </w:tcPr>
          <w:p>
            <w:pPr>
              <w:ind w:left="600"/>
              <w:spacing w:after="0"/>
              <w:rPr>
                <w:sz w:val="20"/>
                <w:szCs w:val="20"/>
                <w:color w:val="auto"/>
              </w:rPr>
            </w:pPr>
            <w:r>
              <w:rPr>
                <w:rFonts w:ascii="Arial" w:cs="Arial" w:eastAsia="Arial" w:hAnsi="Arial"/>
                <w:sz w:val="18"/>
                <w:szCs w:val="18"/>
                <w:color w:val="auto"/>
              </w:rPr>
              <w:t>Term loan, fixed rate at 0.86%, due June 2022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14,528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fixed rate at 0.60%, due July 2022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Term loan, fixed rate at 1.30%, due July 2023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138,499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fixed rate at 1.35%, due December 2024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220,823</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Term loan, fixed rate at 1.20%, due December 2025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75,773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105,569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fixed rate at 1.23%, due December 2026 (6)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Amkor Assembly &amp; Test (Shanghai) Co., Ltd.: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LIBOR plus 1.60%, due March 2022</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0"/>
        </w:trPr>
        <w:tc>
          <w:tcPr>
            <w:tcW w:w="8100" w:type="dxa"/>
            <w:vAlign w:val="bottom"/>
          </w:tcPr>
          <w:p>
            <w:pPr>
              <w:ind w:left="600"/>
              <w:spacing w:after="0"/>
              <w:rPr>
                <w:sz w:val="20"/>
                <w:szCs w:val="20"/>
                <w:color w:val="auto"/>
              </w:rPr>
            </w:pPr>
            <w:r>
              <w:rPr>
                <w:rFonts w:ascii="Arial" w:cs="Arial" w:eastAsia="Arial" w:hAnsi="Arial"/>
                <w:sz w:val="18"/>
                <w:szCs w:val="18"/>
                <w:color w:val="auto"/>
              </w:rPr>
              <w:t>Term loan, LIBOR plus 1.40%, due March 2022</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Term loan, LIBOR plus 1.10%, due March 2024 (7)</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$250 million senior secured revolving credit facility, LIBOR plus 1.25%-1.75%, due July 2023</w:t>
            </w:r>
          </w:p>
        </w:tc>
        <w:tc>
          <w:tcPr>
            <w:tcW w:w="3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(Singapore) (8)</w:t>
            </w:r>
          </w:p>
        </w:tc>
        <w:tc>
          <w:tcPr>
            <w:tcW w:w="3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600"/>
              <w:spacing w:after="0"/>
              <w:rPr>
                <w:sz w:val="20"/>
                <w:szCs w:val="20"/>
                <w:color w:val="auto"/>
              </w:rPr>
            </w:pPr>
            <w:r>
              <w:rPr>
                <w:rFonts w:ascii="Arial" w:cs="Arial" w:eastAsia="Arial" w:hAnsi="Arial"/>
                <w:sz w:val="18"/>
                <w:szCs w:val="18"/>
                <w:color w:val="auto"/>
              </w:rPr>
              <w:t>Credit facility, TAIFX plus the applicable bank rate, due December 2024 (Taiwan) (9)</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1,146,775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1,164,302</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Less: Unamortized discount and deferred debt costs,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Short-term borrowings and current portion of long-term debt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(149,007)</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984,988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1,005,339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hanging="5"/>
        <w:spacing w:after="0" w:line="263" w:lineRule="auto"/>
        <w:rPr>
          <w:sz w:val="20"/>
          <w:szCs w:val="20"/>
          <w:color w:val="auto"/>
        </w:rPr>
      </w:pPr>
      <w:r>
        <w:rPr>
          <w:rFonts w:ascii="Arial" w:cs="Arial" w:eastAsia="Arial" w:hAnsi="Arial"/>
          <w:sz w:val="18"/>
          <w:szCs w:val="18"/>
          <w:color w:val="auto"/>
        </w:rPr>
        <w:t>In October 2021, we renewed this revolving credit facility agreement for a one-year term with availability of $30.0 million. Principal is payable at maturity or six months after draw of funds, whichever is sooner, and interest is payable monthly in arrears. As of December 31, 2021, $30.0 million was available to be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8" w:lineRule="exact"/>
        <w:rPr>
          <w:sz w:val="20"/>
          <w:szCs w:val="20"/>
          <w:color w:val="auto"/>
        </w:rPr>
      </w:pPr>
    </w:p>
    <w:p>
      <w:pPr>
        <w:jc w:val="both"/>
        <w:ind w:hanging="5"/>
        <w:spacing w:after="0" w:line="294" w:lineRule="auto"/>
        <w:rPr>
          <w:sz w:val="20"/>
          <w:szCs w:val="20"/>
          <w:color w:val="auto"/>
        </w:rPr>
      </w:pPr>
      <w:r>
        <w:rPr>
          <w:rFonts w:ascii="Arial" w:cs="Arial" w:eastAsia="Arial" w:hAnsi="Arial"/>
          <w:sz w:val="18"/>
          <w:szCs w:val="18"/>
          <w:color w:val="auto"/>
        </w:rPr>
        <w:t>In April 2021, we entered into a ₩80.0 billion term loan agreement with the option to borrow and re-borrow the funds up to six times per year through April 2024. Principal is payable at maturity, and interest is payable monthly. During the year ended December 31, 2021, we borrowed and repaid $138.6 million. As of December 31, 2021, ₩80.0 billion, or approximately $67 million, was available to be drawn.</w:t>
      </w:r>
    </w:p>
    <w:p>
      <w:pPr>
        <w:spacing w:after="0" w:line="82" w:lineRule="exact"/>
        <w:rPr>
          <w:sz w:val="20"/>
          <w:szCs w:val="20"/>
          <w:color w:val="auto"/>
        </w:rPr>
      </w:pPr>
    </w:p>
    <w:p>
      <w:pPr>
        <w:jc w:val="both"/>
        <w:ind w:right="20" w:hanging="5"/>
        <w:spacing w:after="0" w:line="308" w:lineRule="auto"/>
        <w:rPr>
          <w:sz w:val="20"/>
          <w:szCs w:val="20"/>
          <w:color w:val="auto"/>
        </w:rPr>
      </w:pPr>
      <w:r>
        <w:rPr>
          <w:rFonts w:ascii="Arial" w:cs="Arial" w:eastAsia="Arial" w:hAnsi="Arial"/>
          <w:sz w:val="17"/>
          <w:szCs w:val="17"/>
          <w:color w:val="auto"/>
        </w:rPr>
        <w:t>In December 2018, we entered into a term loan agreement pursuant to which we may borrow up to $90.0 million for capital expenditures. Principal is payable in semiannual installments and interest is payable quarterly in arrears (fixed at a weighted average of 3.88% as of December 31, 2021).</w:t>
      </w:r>
    </w:p>
    <w:p>
      <w:pPr>
        <w:spacing w:after="0" w:line="92" w:lineRule="exact"/>
        <w:rPr>
          <w:sz w:val="20"/>
          <w:szCs w:val="20"/>
          <w:color w:val="auto"/>
        </w:rPr>
      </w:pPr>
    </w:p>
    <w:p>
      <w:pPr>
        <w:jc w:val="both"/>
        <w:ind w:hanging="5"/>
        <w:spacing w:after="0" w:line="259" w:lineRule="auto"/>
        <w:rPr>
          <w:sz w:val="20"/>
          <w:szCs w:val="20"/>
          <w:color w:val="auto"/>
        </w:rPr>
      </w:pPr>
      <w:r>
        <w:rPr>
          <w:rFonts w:ascii="Arial" w:cs="Arial" w:eastAsia="Arial" w:hAnsi="Arial"/>
          <w:sz w:val="18"/>
          <w:szCs w:val="18"/>
          <w:color w:val="auto"/>
        </w:rPr>
        <w:t>In October 2021, we entered into a term loan agreement with availability of $200.0 million. Principal is payable in semiannual installments after a three-year grace period from the date of the first drawdown, which occurred in December 2021. Interest is payable quarterly. During the year ended December 31, 2021, we borrowed $50.0 million. As of December 31, 2021, $150.0 million was available to be drawn. In February 2022, we borrowed an additional $50.0 million under this agreement.</w:t>
      </w:r>
    </w:p>
    <w:p>
      <w:pPr>
        <w:spacing w:after="0" w:line="133" w:lineRule="exact"/>
        <w:rPr>
          <w:sz w:val="20"/>
          <w:szCs w:val="20"/>
          <w:color w:val="auto"/>
        </w:rPr>
      </w:pPr>
    </w:p>
    <w:p>
      <w:pPr>
        <w:jc w:val="both"/>
        <w:ind w:hanging="5"/>
        <w:spacing w:after="0" w:line="277" w:lineRule="auto"/>
        <w:rPr>
          <w:sz w:val="20"/>
          <w:szCs w:val="20"/>
          <w:color w:val="auto"/>
        </w:rPr>
      </w:pPr>
      <w:r>
        <w:rPr>
          <w:rFonts w:ascii="Arial" w:cs="Arial" w:eastAsia="Arial" w:hAnsi="Arial"/>
          <w:sz w:val="18"/>
          <w:szCs w:val="18"/>
          <w:color w:val="auto"/>
        </w:rPr>
        <w:t>We entered into various short-term term loans which mature semiannually. Principal and interest are payable in monthly installments. As of December 31, 2021, $5.2 million was available to be drawn.</w:t>
      </w:r>
    </w:p>
    <w:p>
      <w:pPr>
        <w:spacing w:after="0" w:line="116" w:lineRule="exact"/>
        <w:rPr>
          <w:sz w:val="20"/>
          <w:szCs w:val="20"/>
          <w:color w:val="auto"/>
        </w:rPr>
      </w:pPr>
    </w:p>
    <w:p>
      <w:pPr>
        <w:jc w:val="both"/>
        <w:ind w:hanging="5"/>
        <w:spacing w:after="0" w:line="277" w:lineRule="auto"/>
        <w:rPr>
          <w:sz w:val="20"/>
          <w:szCs w:val="20"/>
          <w:color w:val="auto"/>
        </w:rPr>
      </w:pPr>
      <w:r>
        <w:rPr>
          <w:rFonts w:ascii="Arial" w:cs="Arial" w:eastAsia="Arial" w:hAnsi="Arial"/>
          <w:sz w:val="18"/>
          <w:szCs w:val="18"/>
          <w:color w:val="auto"/>
        </w:rPr>
        <w:t>In December 2021, we borrowed ¥13.1 billion (US$115.0 million) under a new term loan agreement due December 2026, guaranteed by Amkor Technology, Inc. and our subsidiary, ATSH. Principal is due in 20 equal, quarterly installments plus accrued interest, through maturity.</w:t>
      </w:r>
    </w:p>
    <w:p>
      <w:pPr>
        <w:spacing w:after="0" w:line="116" w:lineRule="exact"/>
        <w:rPr>
          <w:sz w:val="20"/>
          <w:szCs w:val="20"/>
          <w:color w:val="auto"/>
        </w:rPr>
      </w:pPr>
    </w:p>
    <w:p>
      <w:pPr>
        <w:jc w:val="both"/>
        <w:ind w:hanging="5"/>
        <w:spacing w:after="0" w:line="263" w:lineRule="auto"/>
        <w:rPr>
          <w:sz w:val="20"/>
          <w:szCs w:val="20"/>
          <w:color w:val="auto"/>
        </w:rPr>
      </w:pPr>
      <w:r>
        <w:rPr>
          <w:rFonts w:ascii="Arial" w:cs="Arial" w:eastAsia="Arial" w:hAnsi="Arial"/>
          <w:sz w:val="18"/>
          <w:szCs w:val="18"/>
          <w:color w:val="auto"/>
        </w:rPr>
        <w:t>In March 2021, we entered into a borrowing arrangement which includes a $20.0 million term loan and a $30.0 million term loan. For each term loan, principal is payable in semiannual installments of $0.5 million, with the remaining balance due at maturity. Interest is payable quarterly. We immediately borrowed $50.0 million to repay the term loans due March 2022.</w:t>
      </w:r>
    </w:p>
    <w:p>
      <w:pPr>
        <w:spacing w:after="0" w:line="130" w:lineRule="exact"/>
        <w:rPr>
          <w:sz w:val="20"/>
          <w:szCs w:val="20"/>
          <w:color w:val="auto"/>
        </w:rPr>
      </w:pPr>
    </w:p>
    <w:p>
      <w:pPr>
        <w:jc w:val="both"/>
        <w:ind w:hanging="5"/>
        <w:spacing w:after="0" w:line="263" w:lineRule="auto"/>
        <w:rPr>
          <w:sz w:val="20"/>
          <w:szCs w:val="20"/>
          <w:color w:val="auto"/>
        </w:rPr>
      </w:pPr>
      <w:r>
        <w:rPr>
          <w:rFonts w:ascii="Arial" w:cs="Arial" w:eastAsia="Arial" w:hAnsi="Arial"/>
          <w:sz w:val="18"/>
          <w:szCs w:val="18"/>
          <w:color w:val="auto"/>
        </w:rPr>
        <w:t>In July 2018, our subsidiary, ATSH, entered into a $250.0 million senior secured revolving credit facility, which is guaranteed by Amkor Technology, Inc. The availability for our revolving credit facility is based on the amount of eligible accounts receivable. Principal is payable at maturity. As of December 31, 2021, $250.0 million was available to be drawn.</w:t>
      </w:r>
    </w:p>
    <w:p>
      <w:pPr>
        <w:spacing w:after="0" w:line="130" w:lineRule="exact"/>
        <w:rPr>
          <w:sz w:val="20"/>
          <w:szCs w:val="20"/>
          <w:color w:val="auto"/>
        </w:rPr>
      </w:pPr>
    </w:p>
    <w:p>
      <w:pPr>
        <w:jc w:val="both"/>
        <w:ind w:hanging="5"/>
        <w:spacing w:after="0" w:line="263" w:lineRule="auto"/>
        <w:rPr>
          <w:sz w:val="20"/>
          <w:szCs w:val="20"/>
          <w:color w:val="auto"/>
        </w:rPr>
      </w:pPr>
      <w:r>
        <w:rPr>
          <w:rFonts w:ascii="Arial" w:cs="Arial" w:eastAsia="Arial" w:hAnsi="Arial"/>
          <w:sz w:val="18"/>
          <w:szCs w:val="18"/>
          <w:color w:val="auto"/>
        </w:rPr>
        <w:t>In December 2019, our subsidiary, Amkor Technology Taiwan, Ltd., entered into a $56.0 million borrowing arrangement. This arrangement included a $20.0 million term loan and a $36.0 million revolving credit facility. As of December 31, 2021, $36.0 million was available for future borrowings under such credit facility.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is payable semiannually on our senior notes and quarterly or monthly on our other fixed- and variable-rate debt. Refer to the table above for the interest rates on our fixed-rate debt and to the table below for the interest rates on our variable-rate debt.</w:t>
      </w:r>
    </w:p>
    <w:p>
      <w:pPr>
        <w:spacing w:after="0" w:line="81"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60" w:type="dxa"/>
            <w:vAlign w:val="bottom"/>
          </w:tcPr>
          <w:p>
            <w:pPr>
              <w:spacing w:after="0"/>
              <w:rPr>
                <w:sz w:val="16"/>
                <w:szCs w:val="16"/>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3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Amkor Technology Korea, Inc.:</w:t>
            </w:r>
          </w:p>
        </w:tc>
        <w:tc>
          <w:tcPr>
            <w:tcW w:w="9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Term loan, applicable bank rate plus 1.77%, due April 2023</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99"/>
              </w:rPr>
              <w:t>2.86 %</w:t>
            </w:r>
          </w:p>
        </w:tc>
        <w:tc>
          <w:tcPr>
            <w:tcW w:w="1360" w:type="dxa"/>
            <w:vAlign w:val="bottom"/>
          </w:tcPr>
          <w:p>
            <w:pPr>
              <w:jc w:val="right"/>
              <w:spacing w:after="0"/>
              <w:rPr>
                <w:sz w:val="20"/>
                <w:szCs w:val="20"/>
                <w:color w:val="auto"/>
              </w:rPr>
            </w:pPr>
            <w:r>
              <w:rPr>
                <w:rFonts w:ascii="Arial" w:cs="Arial" w:eastAsia="Arial" w:hAnsi="Arial"/>
                <w:sz w:val="18"/>
                <w:szCs w:val="18"/>
                <w:color w:val="auto"/>
              </w:rPr>
              <w:t>2.40 %</w:t>
            </w:r>
          </w:p>
        </w:tc>
      </w:tr>
      <w:tr>
        <w:trPr>
          <w:trHeight w:val="23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Amkor Technology Japan, Inc:</w:t>
            </w: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Short-term term loans, variable rate</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99"/>
              </w:rPr>
              <w:t>0.29 %</w:t>
            </w:r>
          </w:p>
        </w:tc>
        <w:tc>
          <w:tcPr>
            <w:tcW w:w="1360" w:type="dxa"/>
            <w:vAlign w:val="bottom"/>
          </w:tcPr>
          <w:p>
            <w:pPr>
              <w:jc w:val="right"/>
              <w:spacing w:after="0"/>
              <w:rPr>
                <w:sz w:val="20"/>
                <w:szCs w:val="20"/>
                <w:color w:val="auto"/>
              </w:rPr>
            </w:pPr>
            <w:r>
              <w:rPr>
                <w:rFonts w:ascii="Arial" w:cs="Arial" w:eastAsia="Arial" w:hAnsi="Arial"/>
                <w:sz w:val="18"/>
                <w:szCs w:val="18"/>
                <w:color w:val="auto"/>
              </w:rPr>
              <w:t>0.27 %</w:t>
            </w:r>
          </w:p>
        </w:tc>
      </w:tr>
      <w:tr>
        <w:trPr>
          <w:trHeight w:val="229"/>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Amkor Assembly &amp; Test (Shanghai) Co., Ltd.:</w:t>
            </w: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Term loan, LIBOR plus 1.60%, due March 2022</w:t>
            </w: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29"/>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Term loan, LIBOR Plus 1.40%, due March 2022</w:t>
            </w:r>
          </w:p>
        </w:tc>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8900" w:type="dxa"/>
            <w:vAlign w:val="bottom"/>
            <w:gridSpan w:val="2"/>
          </w:tcPr>
          <w:p>
            <w:pPr>
              <w:ind w:left="240"/>
              <w:spacing w:after="0"/>
              <w:rPr>
                <w:sz w:val="20"/>
                <w:szCs w:val="20"/>
                <w:color w:val="auto"/>
              </w:rPr>
            </w:pPr>
            <w:r>
              <w:rPr>
                <w:rFonts w:ascii="Arial" w:cs="Arial" w:eastAsia="Arial" w:hAnsi="Arial"/>
                <w:sz w:val="18"/>
                <w:szCs w:val="18"/>
                <w:color w:val="auto"/>
              </w:rPr>
              <w:t>Term loan, LIBOR plus 1.10%, due March 2024</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99"/>
              </w:rPr>
              <w:t>1.31 %</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Debt Covenants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 From time to time, Amkor Technology, Inc. and certain of our subsidiaries guarantee certain debt of our other subsidiaries. The agreements governing our indebtedness contain affirmative and negative covenants which restrict our ability to pay dividends and could restrict our operations. These restrictions are determined in part by our covenant compliance and on calculations based upon cumulative net income or, in the case of our Singapore Revolver, borrowing availability and do not currently have a material impact on our ability to make dividend payments or stock repurchases.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at December 31,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 Debt</w:t>
            </w:r>
          </w:p>
        </w:tc>
      </w:tr>
      <w:tr>
        <w:trPr>
          <w:trHeight w:val="187"/>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(In thousands)</w:t>
            </w:r>
          </w:p>
        </w:tc>
      </w:tr>
      <w:tr>
        <w:trPr>
          <w:trHeight w:val="231"/>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due for the year ending December 31,</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153,008</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179,336</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140,383</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60,496</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44,695</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568,857</w:t>
            </w:r>
          </w:p>
        </w:tc>
      </w:tr>
      <w:tr>
        <w:trPr>
          <w:trHeight w:val="223"/>
        </w:trPr>
        <w:tc>
          <w:tcPr>
            <w:tcW w:w="972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1,146,775</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Severance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Korean Severance Plan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subsidiary in Korea maintains an unfunded severance plan that covers certain employees that were employed prior to August 1, 2015. To the extent eligible employees are terminated, our subsidiary in Korea would be required to make lump-sum severance payments on behalf of these eligible employees for service provided prior to August 1, 2015. Factors used to determine severance benefits include employees’ length of service, seniority and rate of pay. The employees’ length of service and seniority are fixed as of July 31, 2015. The employees’ rate of pay is adjusted to the rate of pay at the time of termination. Accrued severance benefits are estimated assuming all eligible employees were to terminate their employment at the balance sheet date. Our contributions to the National Pension Plan of the Republic of Korea are deducted from accrued severance benefit liabilities. On August 1, 2015, our subsidiary in Korea began sponsoring a defined benefit pension plan and a defined contribution plan. Existing employees at that time were given the option of choosing either a defined benefit pension plan or a defined contribution plan for their future benefits and new employees since that date are enrolled in a defined contribution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the balance of our accrued severance plan obligations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3"/>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142,298</w:t>
            </w: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Provision of severance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 payments (1)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(10,659)</w:t>
            </w:r>
          </w:p>
        </w:tc>
      </w:tr>
      <w:tr>
        <w:trPr>
          <w:trHeight w:val="230"/>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(gain)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127,547</w:t>
            </w:r>
          </w:p>
        </w:tc>
      </w:tr>
      <w:tr>
        <w:trPr>
          <w:trHeight w:val="229"/>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Payments remaining with the National Pension Fund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severance plan obligations at December 31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127,386</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accrued severance plan obligations (Note 10)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13,408</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 of accrued severance plan obligations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2020 and 2021, some employees accepted our offer to convert their Korean severance plan participation to a defined contribution plan.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subsidiaries in Japan, Korea, Malaysia, the Philippines and Taiwan sponsor defined benefit plans (the “Plans”). Charges to expense are based upon actuarial analyses. The following table summarizes the changes to the Plans’ benefit obligations, fair value of the Plans’ assets and the funded status of the Plans at December 31, 2021 and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For the Year Ended December 31,</w:t>
            </w:r>
          </w:p>
        </w:tc>
      </w:tr>
      <w:tr>
        <w:trPr>
          <w:trHeight w:val="187"/>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8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Projected benefit obligation at January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222,509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207,448</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29,848</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4,980</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Actuarial (gain) loss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6,104</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Effects of curtailment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Settlement (1)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(31,804)</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Projected benefit obligation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222,509</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Fair value of plan assets at January 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155,211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145,158</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Actual gain (loss) on plan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25,080</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 (1)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(31,804)</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(8,380)</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r>
      <w:tr>
        <w:trPr>
          <w:trHeight w:val="22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Fair value of plan assets at December 31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155,211</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 of the Plans at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In 2020 and 2021, some employees accepted our offer to convert their defined benefit pension plan participation to a defined contribution plan.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the Consolidated Balance Sheets consist of:</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Prepaid benefit cost (included in non-current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439"/>
              <w:spacing w:after="0"/>
              <w:rPr>
                <w:sz w:val="20"/>
                <w:szCs w:val="20"/>
                <w:color w:val="auto"/>
              </w:rPr>
            </w:pPr>
            <w:r>
              <w:rPr>
                <w:rFonts w:ascii="Arial" w:cs="Arial" w:eastAsia="Arial" w:hAnsi="Arial"/>
                <w:sz w:val="18"/>
                <w:szCs w:val="18"/>
                <w:color w:val="auto"/>
                <w:w w:val="87"/>
              </w:rPr>
              <w:t>11,982</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4,856</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benefit liability (included in pension and severance obligations)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19"/>
              <w:spacing w:after="0"/>
              <w:rPr>
                <w:sz w:val="20"/>
                <w:szCs w:val="20"/>
                <w:color w:val="auto"/>
              </w:rPr>
            </w:pPr>
            <w:r>
              <w:rPr>
                <w:rFonts w:ascii="Arial" w:cs="Arial" w:eastAsia="Arial" w:hAnsi="Arial"/>
                <w:sz w:val="18"/>
                <w:szCs w:val="18"/>
                <w:color w:val="auto"/>
                <w:w w:val="92"/>
              </w:rPr>
              <w:t>(55,157)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(72,154)</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amount recognized at year end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419"/>
              <w:spacing w:after="0"/>
              <w:rPr>
                <w:sz w:val="20"/>
                <w:szCs w:val="20"/>
                <w:color w:val="auto"/>
              </w:rPr>
            </w:pPr>
            <w:r>
              <w:rPr>
                <w:rFonts w:ascii="Arial" w:cs="Arial" w:eastAsia="Arial" w:hAnsi="Arial"/>
                <w:sz w:val="18"/>
                <w:szCs w:val="18"/>
                <w:color w:val="auto"/>
                <w:w w:val="92"/>
              </w:rPr>
              <w:t>(43,175)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(67,298)</w:t>
            </w: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as of December 31, 2021 and 2020 was $151.7 million and $164.7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by component, the change in accumulated other comprehensive income (loss), net of tax related to our Plans: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Prior Service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7"/>
              </w:rPr>
              <w:t>Actuarial Net Gain</w:t>
            </w:r>
          </w:p>
        </w:tc>
        <w:tc>
          <w:tcPr>
            <w:tcW w:w="300" w:type="dxa"/>
            <w:vAlign w:val="bottom"/>
          </w:tcPr>
          <w:p>
            <w:pPr>
              <w:spacing w:after="0"/>
              <w:rPr>
                <w:sz w:val="14"/>
                <w:szCs w:val="14"/>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304"/>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Amortization and settlement gain included in net periodic pension cost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gain (loss) arising during period</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860" w:type="dxa"/>
            <w:vAlign w:val="bottom"/>
            <w:gridSpan w:val="2"/>
          </w:tcPr>
          <w:p>
            <w:pPr>
              <w:ind w:left="260"/>
              <w:spacing w:after="0" w:line="156" w:lineRule="exact"/>
              <w:rPr>
                <w:sz w:val="20"/>
                <w:szCs w:val="20"/>
                <w:color w:val="auto"/>
              </w:rPr>
            </w:pPr>
            <w:r>
              <w:rPr>
                <w:rFonts w:ascii="Arial" w:cs="Arial" w:eastAsia="Arial" w:hAnsi="Arial"/>
                <w:sz w:val="18"/>
                <w:szCs w:val="18"/>
                <w:color w:val="auto"/>
                <w:w w:val="94"/>
              </w:rPr>
              <w:t>Adjustments to unrealized components of defined benefit pension plan included in other</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comprehensive income (loss)</w:t>
            </w:r>
          </w:p>
        </w:tc>
        <w:tc>
          <w:tcPr>
            <w:tcW w:w="3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Amortization and settlement gain included in net periodic pension cost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gain (loss) arising during period</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860" w:type="dxa"/>
            <w:vAlign w:val="bottom"/>
            <w:gridSpan w:val="2"/>
          </w:tcPr>
          <w:p>
            <w:pPr>
              <w:ind w:left="260"/>
              <w:spacing w:after="0" w:line="156" w:lineRule="exact"/>
              <w:rPr>
                <w:sz w:val="20"/>
                <w:szCs w:val="20"/>
                <w:color w:val="auto"/>
              </w:rPr>
            </w:pPr>
            <w:r>
              <w:rPr>
                <w:rFonts w:ascii="Arial" w:cs="Arial" w:eastAsia="Arial" w:hAnsi="Arial"/>
                <w:sz w:val="18"/>
                <w:szCs w:val="18"/>
                <w:color w:val="auto"/>
                <w:w w:val="94"/>
              </w:rPr>
              <w:t>Adjustments to unrealized components of defined benefit pension plan included in other</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9,834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comprehensive income (loss)</w:t>
            </w:r>
          </w:p>
        </w:tc>
        <w:tc>
          <w:tcPr>
            <w:tcW w:w="3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right="624"/>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4"/>
              </w:rPr>
              <w:t>Information for pension plans with benefit obligations in excess of plan assets is as follows:</w:t>
            </w: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 with underfunded or non-funded projected benefit obligation:</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Aggregate projected benefit obligation</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128,312</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140,424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Aggregate fair value of plan assets</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Plans with underfunded or non-funded accumulated benefit obligation:</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Aggregate accumulated benefit obligation</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Aggregate fair value of plan assets</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80" w:type="dxa"/>
            <w:vAlign w:val="bottom"/>
          </w:tcPr>
          <w:p>
            <w:pPr>
              <w:spacing w:after="0"/>
              <w:rPr>
                <w:sz w:val="20"/>
                <w:szCs w:val="20"/>
                <w:color w:val="auto"/>
              </w:rPr>
            </w:pPr>
            <w:r>
              <w:rPr>
                <w:rFonts w:ascii="Arial" w:cs="Arial" w:eastAsia="Arial" w:hAnsi="Arial"/>
                <w:sz w:val="18"/>
                <w:szCs w:val="18"/>
                <w:color w:val="auto"/>
              </w:rPr>
              <w:t>The following table summarizes total pension expense:</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0"/>
          </w:tcPr>
          <w:p>
            <w:pPr>
              <w:jc w:val="center"/>
              <w:ind w:left="524"/>
              <w:spacing w:after="0"/>
              <w:rPr>
                <w:sz w:val="20"/>
                <w:szCs w:val="20"/>
                <w:color w:val="auto"/>
              </w:rPr>
            </w:pPr>
            <w:r>
              <w:rPr>
                <w:rFonts w:ascii="Arial" w:cs="Arial" w:eastAsia="Arial" w:hAnsi="Arial"/>
                <w:sz w:val="14"/>
                <w:szCs w:val="14"/>
                <w:b w:val="1"/>
                <w:bCs w:val="1"/>
                <w:color w:val="auto"/>
                <w:w w:val="93"/>
              </w:rPr>
              <w:t>For the Year Ended December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pension cost and total pension expense:</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25,908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actuarial (gain) loss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Net periodic pension cost</w:t>
            </w:r>
          </w:p>
        </w:tc>
        <w:tc>
          <w:tcPr>
            <w:tcW w:w="380" w:type="dxa"/>
            <w:vAlign w:val="bottom"/>
          </w:tcPr>
          <w:p>
            <w:pPr>
              <w:spacing w:after="0"/>
              <w:rPr>
                <w:sz w:val="19"/>
                <w:szCs w:val="19"/>
                <w:color w:val="auto"/>
              </w:rPr>
            </w:pP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25,336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Curtailment (gain) loss</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Settlement (gain) loss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pension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23,639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29,603</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weighted-average assumptions used in computing the net periodic pension cost and projected benefit obligations:</w:t>
      </w:r>
    </w:p>
    <w:p>
      <w:pPr>
        <w:spacing w:after="0" w:line="159"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For the 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0" w:type="dxa"/>
            <w:vAlign w:val="bottom"/>
          </w:tcPr>
          <w:p>
            <w:pPr>
              <w:spacing w:after="0"/>
              <w:rPr>
                <w:sz w:val="16"/>
                <w:szCs w:val="16"/>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7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for determining net periodic pension cost</w:t>
            </w:r>
          </w:p>
        </w:tc>
        <w:tc>
          <w:tcPr>
            <w:tcW w:w="10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Discount rate for determining benefit obligations at December 31</w:t>
            </w:r>
          </w:p>
        </w:tc>
        <w:tc>
          <w:tcPr>
            <w:tcW w:w="56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76"/>
        </w:trPr>
        <w:tc>
          <w:tcPr>
            <w:tcW w:w="7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Rate of compensation increase for determining net periodic</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cost</w:t>
            </w: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Rate of compensation increase for determining benefit obligations</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Arial" w:cs="Arial" w:eastAsia="Arial" w:hAnsi="Arial"/>
                <w:sz w:val="18"/>
                <w:szCs w:val="18"/>
                <w:color w:val="auto"/>
              </w:rPr>
              <w:t>at December 31</w:t>
            </w: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Expected rate of return on plan assets for determining net periodic</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cost</w:t>
            </w: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 date for determining the Plans’ assets and benefit obligations is December 31, each year. Discount rates are generally derived from yield curves constructed from high-quality corporate or foreign government bonds, for which the timing and amount of cash outflows approximate the estimated payouts.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expected rate of return assumption is based on weighted-average expected returns for each asset class. Expected returns reflect a combination of historical performance analysis and the forward-looking views of the financial markets and include input from our actuaries. We have no control over the direction of our investments in our defined benefit plans in Taiwan as the local Labor Standards Law Fund mandates such contributions into a cash account balance at the Bank of Taiwan. Our defined benefit pension plan in Malaysia is a non-funded plan, and as such, no asset exists related to this plan. Our investment strategies for our defined benefit plans in Japan, Korea and the Philippines are based on long-term, sustained asset growth through low to medium risk investments. The current rate of return assumption targets are based on asset allocation strategies as follows:</w:t>
      </w:r>
    </w:p>
    <w:p>
      <w:pPr>
        <w:spacing w:after="0" w:line="75"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Allocation</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680" w:type="dxa"/>
            <w:vAlign w:val="bottom"/>
          </w:tcPr>
          <w:p>
            <w:pPr>
              <w:spacing w:after="0"/>
              <w:rPr>
                <w:sz w:val="16"/>
                <w:szCs w:val="16"/>
                <w:color w:val="auto"/>
              </w:rPr>
            </w:pPr>
          </w:p>
        </w:tc>
        <w:tc>
          <w:tcPr>
            <w:tcW w:w="960" w:type="dxa"/>
            <w:vAlign w:val="bottom"/>
            <w:tcBorders>
              <w:top w:val="single" w:sz="8" w:color="auto"/>
            </w:tcBorders>
          </w:tcPr>
          <w:p>
            <w:pPr>
              <w:ind w:left="580"/>
              <w:spacing w:after="0"/>
              <w:rPr>
                <w:sz w:val="20"/>
                <w:szCs w:val="20"/>
                <w:color w:val="auto"/>
              </w:rPr>
            </w:pPr>
            <w:r>
              <w:rPr>
                <w:rFonts w:ascii="Arial" w:cs="Arial" w:eastAsia="Arial" w:hAnsi="Arial"/>
                <w:sz w:val="14"/>
                <w:szCs w:val="14"/>
                <w:b w:val="1"/>
                <w:bCs w:val="1"/>
                <w:color w:val="auto"/>
              </w:rPr>
              <w:t>Debt</w:t>
            </w: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Equity</w:t>
            </w:r>
          </w:p>
        </w:tc>
        <w:tc>
          <w:tcPr>
            <w:tcW w:w="14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Other</w:t>
            </w:r>
          </w:p>
        </w:tc>
      </w:tr>
      <w:tr>
        <w:trPr>
          <w:trHeight w:val="224"/>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 defined benefit plan</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Korea defined benefit plan</w:t>
            </w:r>
          </w:p>
        </w:tc>
        <w:tc>
          <w:tcPr>
            <w:tcW w:w="48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Philippine defined benefit plan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pension plan assets, by asset category utilizing the fair value hierarchy as discussed in Note 16,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7"/>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83"/>
        </w:trPr>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1"/>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16,071</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160" w:type="dxa"/>
            <w:vAlign w:val="bottom"/>
          </w:tcPr>
          <w:p>
            <w:pPr>
              <w:ind w:left="220"/>
              <w:spacing w:after="0"/>
              <w:rPr>
                <w:sz w:val="20"/>
                <w:szCs w:val="20"/>
                <w:color w:val="auto"/>
              </w:rPr>
            </w:pPr>
            <w:r>
              <w:rPr>
                <w:rFonts w:ascii="Arial" w:cs="Arial" w:eastAsia="Arial" w:hAnsi="Arial"/>
                <w:sz w:val="18"/>
                <w:szCs w:val="18"/>
                <w:color w:val="auto"/>
              </w:rPr>
              <w:t>Government bonds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7,536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6,571</w:t>
            </w:r>
          </w:p>
        </w:tc>
      </w:tr>
      <w:tr>
        <w:trPr>
          <w:trHeight w:val="22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tcPr>
          <w:p>
            <w:pPr>
              <w:ind w:left="220"/>
              <w:spacing w:after="0"/>
              <w:rPr>
                <w:sz w:val="20"/>
                <w:szCs w:val="20"/>
                <w:color w:val="auto"/>
              </w:rPr>
            </w:pPr>
            <w:r>
              <w:rPr>
                <w:rFonts w:ascii="Arial" w:cs="Arial" w:eastAsia="Arial" w:hAnsi="Arial"/>
                <w:sz w:val="18"/>
                <w:szCs w:val="18"/>
                <w:color w:val="auto"/>
              </w:rPr>
              <w:t>Treasury notes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8,069</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and commingled funds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41,889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46,469</w:t>
            </w:r>
          </w:p>
        </w:tc>
      </w:tr>
      <w:tr>
        <w:trPr>
          <w:trHeight w:val="230"/>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funds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30,988</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Guaranteed investment contracts</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34,281</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 retirement fund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pension plan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157,012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155,211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Taiwan retirement fund category of our plan assets represents accounts that our subsidiaries in Taiwan have in a government labor retirement fund in the custody of the Bank of Taiwan. The accounts earn a minimum guaranteed rate of return and are invested in a mix of cash, domestic and foreign equity securities and domestic and foreign debt securities.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approximately $15 million during 2022. We closely monitor the funded status of the Plans with respect to legislative requirements. We intend to make at least the minimum contribution required by law each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related to our foreign defined benefit plans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Payments</w:t>
            </w:r>
          </w:p>
        </w:tc>
      </w:tr>
      <w:tr>
        <w:trPr>
          <w:trHeight w:val="187"/>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(In thousands)</w:t>
            </w:r>
          </w:p>
        </w:tc>
      </w:tr>
      <w:tr>
        <w:trPr>
          <w:trHeight w:val="231"/>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11,397</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13,334</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15,278</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16,491</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2027 to 2031</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113,825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sponsor defined contribution plans in Korea, Malaysia, Taiwan and the U.S. Total defined contribution expense was $21.8 million, $16.5 million and $13.6 million for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Dividends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2020, our Board of Directors approved the initiation of a regular quarterly cash dividend on our common stock. Each quarter since the adoption of this dividend policy the Company has declared and paid a quarterly dividend. In November 2021, our Board of Directors approved a 25% increase to our quarterly dividend, increasing to $0.05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accumulated other comprehensive income (loss), net of tax:</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Unrealized Gain</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(Losses) on Available-</w:t>
            </w:r>
          </w:p>
        </w:tc>
        <w:tc>
          <w:tcPr>
            <w:tcW w:w="20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1"/>
                <w:szCs w:val="11"/>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for-Sale Debt</w:t>
            </w:r>
          </w:p>
        </w:tc>
        <w:tc>
          <w:tcPr>
            <w:tcW w:w="2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Investments (1)</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Pension (2)</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Balance at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5"/>
              </w:rPr>
              <w:t>Amounts reclassified from accumulated other comprehensive</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Balance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5"/>
              </w:rPr>
              <w:t>Amounts reclassified from accumulated other comprehensive</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(16,757)</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other (income) expense, net (Note 3).</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a component of net periodic pension cost (Note 12) or other (income) expense, net (Note 3).</w:t>
      </w:r>
    </w:p>
    <w:p>
      <w:pPr>
        <w:spacing w:after="0" w:line="193" w:lineRule="exact"/>
        <w:rPr>
          <w:rFonts w:ascii="Arial" w:cs="Arial" w:eastAsia="Arial" w:hAnsi="Arial"/>
          <w:sz w:val="18"/>
          <w:szCs w:val="18"/>
          <w:color w:val="auto"/>
        </w:rPr>
      </w:pPr>
    </w:p>
    <w:p>
      <w:pPr>
        <w:ind w:left="280" w:hanging="272"/>
        <w:spacing w:after="0"/>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use foreign currency forward contracts to mitigate foreign currency risk of certain assets and monetary liabilities denominated in foreign currencies. We do not enter into such contracts for trading or speculative purposes. These derivative instruments are not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our foreign exchange forward contracts consisted of the following:</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1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7"/>
              </w:rPr>
              <w:t>Fair Value (Level</w:t>
            </w:r>
          </w:p>
        </w:tc>
        <w:tc>
          <w:tcPr>
            <w:tcW w:w="1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Fair Value (Level</w:t>
            </w:r>
          </w:p>
        </w:tc>
        <w:tc>
          <w:tcPr>
            <w:tcW w:w="178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7"/>
              </w:rPr>
              <w:t>Balance Sheet Location</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w:t>
            </w: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w:t>
            </w: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20" w:type="dxa"/>
            <w:vAlign w:val="bottom"/>
            <w:gridSpan w:val="4"/>
          </w:tcPr>
          <w:p>
            <w:pPr>
              <w:ind w:left="13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Korean won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125,321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w:t>
            </w:r>
          </w:p>
        </w:tc>
        <w:tc>
          <w:tcPr>
            <w:tcW w:w="17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161,612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78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176"/>
        </w:trPr>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Philippine peso</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7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Current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0" w:type="dxa"/>
            <w:vAlign w:val="bottom"/>
          </w:tcPr>
          <w:p>
            <w:pPr>
              <w:spacing w:after="0"/>
              <w:rPr>
                <w:sz w:val="1"/>
                <w:szCs w:val="1"/>
                <w:color w:val="auto"/>
              </w:rPr>
            </w:pPr>
          </w:p>
        </w:tc>
      </w:tr>
      <w:tr>
        <w:trPr>
          <w:trHeight w:val="229"/>
        </w:trPr>
        <w:tc>
          <w:tcPr>
            <w:tcW w:w="274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120"/>
              <w:spacing w:after="0"/>
              <w:rPr>
                <w:sz w:val="20"/>
                <w:szCs w:val="20"/>
                <w:color w:val="auto"/>
              </w:rPr>
            </w:pPr>
            <w:r>
              <w:rPr>
                <w:rFonts w:ascii="Arial" w:cs="Arial" w:eastAsia="Arial" w:hAnsi="Arial"/>
                <w:sz w:val="18"/>
                <w:szCs w:val="18"/>
                <w:color w:val="auto"/>
              </w:rPr>
              <w:t>Total forward contracts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526,268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2021, the derivatives resulted in a net loss of $58.8 million, which was offset by the foreign currency gains associated with the underlying net assets or liabilities. For the years ended December 31, 2020 and 2019, the derivatives resulted in a net gain of $35.9 million and $0.1 million respectively, which were offset by the foreign currency losses associated with the underlying net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valued using quoted market prices for similar assets. Counterparties to these derivative contracts are highly rated financial institutions.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notes (Level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Revolving credit facilities and term loans (Level 2)</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financial instruments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2021</w:t>
            </w:r>
          </w:p>
        </w:tc>
        <w:tc>
          <w:tcPr>
            <w:tcW w:w="5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4"/>
                <w:szCs w:val="14"/>
                <w:b w:val="1"/>
                <w:bCs w:val="1"/>
                <w:color w:val="auto"/>
              </w:rPr>
              <w:t>December 31, 2020</w:t>
            </w:r>
          </w:p>
        </w:tc>
      </w:tr>
      <w:tr>
        <w:trPr>
          <w:trHeight w:val="135"/>
        </w:trPr>
        <w:tc>
          <w:tcPr>
            <w:tcW w:w="360" w:type="dxa"/>
            <w:vAlign w:val="bottom"/>
          </w:tcPr>
          <w:p>
            <w:pPr>
              <w:spacing w:after="0"/>
              <w:rPr>
                <w:sz w:val="11"/>
                <w:szCs w:val="11"/>
                <w:color w:val="auto"/>
              </w:rPr>
            </w:pP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3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1"/>
                <w:szCs w:val="11"/>
                <w:color w:val="auto"/>
              </w:rPr>
            </w:pPr>
          </w:p>
        </w:tc>
        <w:tc>
          <w:tcPr>
            <w:tcW w:w="112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220" w:type="dxa"/>
            <w:vAlign w:val="bottom"/>
          </w:tcPr>
          <w:p>
            <w:pPr>
              <w:jc w:val="right"/>
              <w:ind w:right="397"/>
              <w:spacing w:after="0" w:line="135" w:lineRule="exact"/>
              <w:rPr>
                <w:sz w:val="20"/>
                <w:szCs w:val="20"/>
                <w:color w:val="auto"/>
              </w:rPr>
            </w:pPr>
            <w:r>
              <w:rPr>
                <w:rFonts w:ascii="Arial" w:cs="Arial" w:eastAsia="Arial" w:hAnsi="Arial"/>
                <w:sz w:val="14"/>
                <w:szCs w:val="14"/>
                <w:b w:val="1"/>
                <w:bCs w:val="1"/>
                <w:color w:val="auto"/>
              </w:rPr>
              <w:t>Carrying</w:t>
            </w:r>
          </w:p>
        </w:tc>
      </w:tr>
      <w:tr>
        <w:trPr>
          <w:trHeight w:val="188"/>
        </w:trPr>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r>
      <w:tr>
        <w:trPr>
          <w:trHeight w:val="181"/>
        </w:trPr>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1"/>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555,655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520,436</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570,339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519,803</w:t>
            </w:r>
          </w:p>
        </w:tc>
      </w:tr>
      <w:tr>
        <w:trPr>
          <w:trHeight w:val="230"/>
        </w:trPr>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627,883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617,560</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647,557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634,543</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1,137,996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1,217,896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1,154,346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-479425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-187960</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121" w:right="339" w:bottom="1440" w:gutter="0" w:footer="0" w:header="0"/>
          <w:type w:val="continuous"/>
        </w:sectPr>
      </w:pP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 based assumptions including forward interest rates adjusted for credit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provide packaging and test services, we purchase materials under various long-term supply contracts. Future minimum payments to be made under these contracts for the period 2022 through 2027 are $7.1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Segments, Customer Concentrations and Geographic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a single operating segment as managed by our Chief Executive Officer, who is considered our chief operating decision maker (“CODM”). The CODM bears the ultimate responsibility for, and is actively engaged in, the allocation of resources and the evaluation of our operating and financial results. We have concluded that we have a single operating segment based on the following:</w:t>
      </w:r>
    </w:p>
    <w:p>
      <w:pPr>
        <w:spacing w:after="0" w:line="13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managed under a functionally-based organizational structure with the head of each function reporting directly to the CODM;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assess performance, including incentive compensation, based on consolidated operating performance and financial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CODM allocates resources and makes other operating decisions based on specific customer business opportunities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an integrated process for the design, development and manufacturing services we provide to all of our customers. We also have centralized sales and administrative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2021, we began reporting memory net sales in Advanced Products. Previously, memory net sales were reported in Mainstream Products. Prior year amounts were reclassified to conform to current year presentation. Net sales by product group consist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3"/>
              </w:rPr>
              <w:t>For the Year Ended December 31,</w:t>
            </w:r>
          </w:p>
        </w:tc>
        <w:tc>
          <w:tcPr>
            <w:tcW w:w="112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Products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4,409,207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3,604,365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2,481,783</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Mainstream Products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1,729,122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1,446,224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1,570,867</w:t>
            </w: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5,050,589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4,052,650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198" w:lineRule="exact"/>
        <w:rPr>
          <w:rFonts w:ascii="Arial" w:cs="Arial" w:eastAsia="Arial" w:hAnsi="Arial"/>
          <w:sz w:val="18"/>
          <w:szCs w:val="18"/>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10"/>
          </w:tcPr>
          <w:p>
            <w:pPr>
              <w:jc w:val="right"/>
              <w:ind w:right="25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6"/>
        </w:trPr>
        <w:tc>
          <w:tcPr>
            <w:tcW w:w="6200" w:type="dxa"/>
            <w:vAlign w:val="bottom"/>
          </w:tcPr>
          <w:p>
            <w:pPr>
              <w:ind w:left="20"/>
              <w:spacing w:after="0"/>
              <w:rPr>
                <w:sz w:val="20"/>
                <w:szCs w:val="20"/>
                <w:color w:val="auto"/>
              </w:rPr>
            </w:pPr>
            <w:r>
              <w:rPr>
                <w:rFonts w:ascii="Arial" w:cs="Arial" w:eastAsia="Arial" w:hAnsi="Arial"/>
                <w:sz w:val="18"/>
                <w:szCs w:val="18"/>
                <w:color w:val="auto"/>
              </w:rPr>
              <w:t>Communications (smart phones, tablets)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Consumer (AR &amp; gaming, connected home, home electronics, wearables)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Automotive and Industrial (ADAS, electrification, infotainment, safety)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Computing (datacenter, infrastructure, PC/laptops, storage)</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w w:val="90"/>
              </w:rPr>
              <w:t>Net sales by region based on customer headquarters location consist of the following:</w:t>
            </w: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center"/>
              <w:ind w:right="110"/>
              <w:spacing w:after="0"/>
              <w:rPr>
                <w:sz w:val="20"/>
                <w:szCs w:val="20"/>
                <w:color w:val="auto"/>
              </w:rPr>
            </w:pPr>
            <w:r>
              <w:rPr>
                <w:rFonts w:ascii="Arial" w:cs="Arial" w:eastAsia="Arial" w:hAnsi="Arial"/>
                <w:sz w:val="14"/>
                <w:szCs w:val="14"/>
                <w:b w:val="1"/>
                <w:bCs w:val="1"/>
                <w:color w:val="auto"/>
                <w:w w:val="93"/>
              </w:rPr>
              <w:t>For the 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1,253,717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1,152,641</w:t>
            </w:r>
          </w:p>
        </w:tc>
        <w:tc>
          <w:tcPr>
            <w:tcW w:w="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1,061,265</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1,061,369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848,301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625,592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 (excluding Japan)</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999,591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672,563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487,406</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Total foreign countries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3,314,677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2,673,505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2,174,263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2,823,652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2,377,084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1,878,387</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Total net sales</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6,138,329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5,050,589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4,052,650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2021 and 2020, one customer accounted for 13.7% and 14.5% of total net sales, respectively. No single customer accounted for more than 10% of net sales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based on physical location,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7"/>
        </w:trPr>
        <w:tc>
          <w:tcPr>
            <w:tcW w:w="8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83"/>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431,862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397,849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Japan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147,253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172,520</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1,428,855</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Malaysia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37,718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187,108</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Portugal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69,458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264,959</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foreign countries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r>
      <w:tr>
        <w:trPr>
          <w:trHeight w:val="223"/>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foreign countries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2,866,411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2,559,377</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r>
      <w:tr>
        <w:trPr>
          <w:trHeight w:val="248"/>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2,871,058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2,566,002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Restructuring and Other Exit Activities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ongoing efforts to improve our manufacturing operations and manage costs, we regularly evaluate our staffing levels and facility requirements compared to business needs. The following table summarizes our exit activities associated with these efforts. “Charges” represents the initial charge related to the exit activity. “Cash Payments” consists of the utilization of “Charges.” “Non-cash Amounts” consists of asset impairment and translation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 Consolidation Activities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2021, we recorded restructuring charges of $2.9 million associated with our Japan factory consolidation efforts. We recorded these charges to selling, general and administrative expenses within the Consolidated Statements of Income. We completed these restructuring actions in the second quarter of 2021.</w:t>
      </w:r>
    </w:p>
    <w:tbl>
      <w:tblPr>
        <w:tblLayout w:type="fixed"/>
        <w:tblInd w:w="0" w:type="dxa"/>
        <w:tblCellMar>
          <w:top w:w="0" w:type="dxa"/>
          <w:left w:w="0" w:type="dxa"/>
          <w:bottom w:w="0" w:type="dxa"/>
          <w:right w:w="0" w:type="dxa"/>
        </w:tblCellMar>
      </w:tblPr>
      <w:tr>
        <w:trPr>
          <w:trHeight w:val="146"/>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Facility Costs (1)</w:t>
            </w:r>
          </w:p>
        </w:tc>
        <w:tc>
          <w:tcPr>
            <w:tcW w:w="100" w:type="dxa"/>
            <w:vAlign w:val="bottom"/>
          </w:tcPr>
          <w:p>
            <w:pPr>
              <w:spacing w:after="0"/>
              <w:rPr>
                <w:sz w:val="12"/>
                <w:szCs w:val="12"/>
                <w:color w:val="auto"/>
              </w:rPr>
            </w:pPr>
          </w:p>
        </w:tc>
        <w:tc>
          <w:tcPr>
            <w:tcW w:w="15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Employee Separation</w:t>
            </w:r>
          </w:p>
        </w:tc>
        <w:tc>
          <w:tcPr>
            <w:tcW w:w="140" w:type="dxa"/>
            <w:vAlign w:val="bottom"/>
          </w:tcPr>
          <w:p>
            <w:pPr>
              <w:spacing w:after="0"/>
              <w:rPr>
                <w:sz w:val="12"/>
                <w:szCs w:val="12"/>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Exit Costs (2)</w:t>
            </w:r>
          </w:p>
        </w:tc>
        <w:tc>
          <w:tcPr>
            <w:tcW w:w="380" w:type="dxa"/>
            <w:vAlign w:val="bottom"/>
          </w:tcPr>
          <w:p>
            <w:pPr>
              <w:spacing w:after="0"/>
              <w:rPr>
                <w:sz w:val="12"/>
                <w:szCs w:val="12"/>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5"/>
          </w:tcPr>
          <w:p>
            <w:pPr>
              <w:ind w:left="10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 at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18,006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Non-cash amounts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23"/>
        </w:trPr>
        <w:tc>
          <w:tcPr>
            <w:tcW w:w="4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Amounts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Accrual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cumulative charges incurred to date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Estimated additional charges to be incurred</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Facility costs primarily consist of equipment relocation costs directly resulting from the restructuring actions.</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exit costs primarily consist of employee relocation and training costs directly resulting from the restructuring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Balance at</w:t>
            </w:r>
          </w:p>
        </w:tc>
        <w:tc>
          <w:tcPr>
            <w:tcW w:w="15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Additions</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5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(Credited) Charged</w:t>
            </w:r>
          </w:p>
        </w:tc>
        <w:tc>
          <w:tcPr>
            <w:tcW w:w="12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Write-offs</w:t>
            </w: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Period</w:t>
            </w:r>
          </w:p>
        </w:tc>
        <w:tc>
          <w:tcPr>
            <w:tcW w:w="15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to Expense</w:t>
            </w:r>
          </w:p>
        </w:tc>
        <w:tc>
          <w:tcPr>
            <w:tcW w:w="12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End of Period</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20" w:type="dxa"/>
            <w:vAlign w:val="bottom"/>
            <w:gridSpan w:val="2"/>
          </w:tcPr>
          <w:p>
            <w:pPr>
              <w:jc w:val="right"/>
              <w:ind w:right="835"/>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 valuation allowance:</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Year ended at December 31,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118,560</w:t>
            </w:r>
          </w:p>
        </w:tc>
        <w:tc>
          <w:tcPr>
            <w:tcW w:w="1540" w:type="dxa"/>
            <w:vAlign w:val="bottom"/>
          </w:tcPr>
          <w:p>
            <w:pPr>
              <w:jc w:val="right"/>
              <w:ind w:right="200"/>
              <w:spacing w:after="0"/>
              <w:rPr>
                <w:sz w:val="20"/>
                <w:szCs w:val="20"/>
                <w:color w:val="auto"/>
              </w:rPr>
            </w:pPr>
            <w:r>
              <w:rPr>
                <w:rFonts w:ascii="Arial" w:cs="Arial" w:eastAsia="Arial" w:hAnsi="Arial"/>
                <w:sz w:val="18"/>
                <w:szCs w:val="18"/>
                <w:color w:val="auto"/>
              </w:rPr>
              <w:t>21,496</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(3,122)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136,934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136,934</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(15,311)</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121,310</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Year ended at December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121,310</w:t>
            </w:r>
          </w:p>
        </w:tc>
        <w:tc>
          <w:tcPr>
            <w:tcW w:w="1540" w:type="dxa"/>
            <w:vAlign w:val="bottom"/>
          </w:tcPr>
          <w:p>
            <w:pPr>
              <w:jc w:val="right"/>
              <w:ind w:right="200"/>
              <w:spacing w:after="0"/>
              <w:rPr>
                <w:sz w:val="20"/>
                <w:szCs w:val="20"/>
                <w:color w:val="auto"/>
              </w:rPr>
            </w:pPr>
            <w:r>
              <w:rPr>
                <w:rFonts w:ascii="Arial" w:cs="Arial" w:eastAsia="Arial" w:hAnsi="Arial"/>
                <w:sz w:val="18"/>
                <w:szCs w:val="18"/>
                <w:color w:val="auto"/>
              </w:rPr>
              <w:t>3,653</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(2,606)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122,357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December 31, 2021, and concluded those disclosure controls and procedures were effective as of that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conducted an assessment of the effectiveness of our internal control over financial reporting as of December 31, 2021, based on the framework established in Internal Control — Integrated Framework (2013) issued by the Committee of Sponsoring Organizations of the Treadway Commission (“COSO”). Based on the results of this evaluation, our management concluded that our internal control over financial reporting was effective as of December 31, 2021, based on criteria in Internal Control — Integrated Framework (2013) issued by the COSO.</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PricewaterhouseCoopers LLP, an independent registered public accounting firm, as stated in their report which appears under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December 31, 2021 that have materially affected, or are reasonably likely to materially affect, our internal control over financial reporting.</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10, with the exception of information relating to our Code of Business Conduct (the “Code of Business Conduct”) as disclosed below, is incorporated herein by reference from the material included under the captions “Election of Directors,” “Executive Officers,” “Corporate Governance,” and “Delinquent Section 16(a) Reports” in our definitive proxy statement to be filed with the SEC pursuant to Regulation 14A in connection with our 2022 Annual Meeting of Stockholders (the “Proxy Statement”).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Code of Business Conduct is written and is applicable to all employees, including our Chief Executive Officer, Chief Financial Officer, and Controller. The Code of Business Conduct and our Code of Ethics for Directors, Corporate Governance Guidelines, and the charters of the Audit Committee, Nominating and Governance Committee and Compensation Committee of our Board of Directors are available and maintained on our website (http://www.amkor.com). We intend to disclose on our website future amendments or waivers of the Code of Business Conduct required to be disclosed pursuant to applicable rules and regulations.</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required by this Item 11 is incorporated herein by reference from the material included under the captions “Executive Compensation,” “Compensation Committee Interlocks and Insider Participation” and “Compensation Committee Report” in the Proxy Statement.</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12, with the exception of the equity compensation plan information presented below, is incorporated herein by reference to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EQUITY COMPENSATION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equity compensation plan as of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(b)</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Securities to be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Issued Upon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Weighted</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Exercise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Options, Warrants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Outstanding</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1"/>
                <w:szCs w:val="11"/>
                <w:color w:val="auto"/>
              </w:rPr>
            </w:pPr>
          </w:p>
        </w:tc>
        <w:tc>
          <w:tcPr>
            <w:tcW w:w="16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Options, Warrants and</w:t>
            </w:r>
          </w:p>
        </w:tc>
        <w:tc>
          <w:tcPr>
            <w:tcW w:w="2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Reflected in Column(a))</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Rights (1)</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 approved by stockholders (2)</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 (3)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10.34</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22,558 (4)</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compensation plans not approved by stockholders</w:t>
            </w:r>
          </w:p>
        </w:tc>
        <w:tc>
          <w:tcPr>
            <w:tcW w:w="180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ind w:right="2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equity compensation plans</w:t>
            </w:r>
          </w:p>
        </w:tc>
        <w:tc>
          <w:tcPr>
            <w:tcW w:w="18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8"/>
                <w:szCs w:val="18"/>
                <w:color w:val="auto"/>
              </w:rPr>
              <w:t>22,558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328"/>
        <w:spacing w:after="0" w:line="277" w:lineRule="auto"/>
        <w:tabs>
          <w:tab w:leader="none" w:pos="5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Calculated without taking into account shares of common stock subject to outstanding RSUs and PSUs that will become issuable as those units vest without any cash consideration or other payment required for such shares.</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the 2007 Plan and the 2021 Plan.</w:t>
      </w:r>
    </w:p>
    <w:p>
      <w:pPr>
        <w:spacing w:after="0" w:line="171" w:lineRule="exact"/>
        <w:rPr>
          <w:rFonts w:ascii="Arial" w:cs="Arial" w:eastAsia="Arial" w:hAnsi="Arial"/>
          <w:sz w:val="18"/>
          <w:szCs w:val="18"/>
          <w:color w:val="auto"/>
        </w:rPr>
      </w:pPr>
    </w:p>
    <w:p>
      <w:pPr>
        <w:ind w:left="660" w:hanging="328"/>
        <w:spacing w:after="0" w:line="277" w:lineRule="auto"/>
        <w:tabs>
          <w:tab w:leader="none" w:pos="5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0.3 million shares of common stock subject to RSUs and PSUs, which entitle each holder to one share of common stock for each unit that vests over the holder’s period of continued service or based on the achievement of certain performance criteria.</w:t>
      </w:r>
    </w:p>
    <w:p>
      <w:pPr>
        <w:spacing w:after="0" w:line="116" w:lineRule="exact"/>
        <w:rPr>
          <w:rFonts w:ascii="Arial" w:cs="Arial" w:eastAsia="Arial" w:hAnsi="Arial"/>
          <w:sz w:val="18"/>
          <w:szCs w:val="18"/>
          <w:color w:val="auto"/>
        </w:rPr>
      </w:pPr>
    </w:p>
    <w:p>
      <w:pPr>
        <w:ind w:left="660" w:hanging="328"/>
        <w:spacing w:after="0" w:line="254" w:lineRule="auto"/>
        <w:tabs>
          <w:tab w:leader="none" w:pos="5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number of shares of common stock available for issuance under the 2021 Plan, as adjusted to account for full-value awards, which reduce the shares of common stock available for future issuance at a fungible ratio of 1:1.5 for each full-value award previously awarded. The 2007 Plan terminated on the date of the 2021 Annual Meeting, and, accordingly, there were no shares available for future grants under the 2007 Plan as of December 31, 2021. However, if an award under the 2021 Plan or under the 2007 Plan is forfeited, terminated, canceled, expires or is paid in cash, the shares subject to such award, to the extent of the forfeiture, termination, cancellation, expiration or cash payment, may be added back to the shares available for issuance under the 2021 Plan on a 1:1 basis for options and stock appreciation rights and on a 1.5:1 basis for all other equity awards.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2021 Plan, which was approved by our stockholders at the 2021 Annual Meeting, superseded and replaced the 2007 Plan. As of December 31, 2021, a total of 22.6 million shares were available for issuance under the 2021 Plan. Shares available for issuance under our 2021 Plan can be granted pursuant to stock options, restricted stock, RSUs, stock appreciation rights, PSUs and performance shares. For additional information regarding the 2007 Plan and the 2021 Plan, see Note 2 to our Consolidated Financial Statements in Part II, Item 8 of this Form 10-K.</w:t>
      </w:r>
    </w:p>
    <w:p>
      <w:pPr>
        <w:spacing w:after="0" w:line="3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13 is incorporated herein by reference from the material included under the captions “Certain Relationships and Related Transactions” and “Proposal One — Election of Directors” in the Proxy Statement.</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14 is incorporated herein by reference from the material included under the proposal “Ratification of Appointment of Independent Registered Public Accounting Firm”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6" w:lineRule="exact"/>
        <w:rPr>
          <w:sz w:val="20"/>
          <w:szCs w:val="20"/>
          <w:color w:val="auto"/>
        </w:rPr>
      </w:pPr>
    </w:p>
    <w:p>
      <w:pPr>
        <w:ind w:left="500" w:hanging="249"/>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Financial Statements, Financial Statement Schedules and Exhibits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financial statements and schedules filed as part of this Form 10-K are listed in the index under Part II, Item 8 of this Form 10-K.</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exhibits required by Item 601 of Regulation S-K that are filed with this Form 10-K or incorporated by reference herein are set forth below.</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contracts or compensatory plans or arrangements are identified by an asterisk.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1980" w:type="dxa"/>
            <w:vAlign w:val="bottom"/>
          </w:tcPr>
          <w:p>
            <w:pPr>
              <w:ind w:left="1260"/>
              <w:spacing w:after="0"/>
              <w:rPr>
                <w:sz w:val="20"/>
                <w:szCs w:val="20"/>
                <w:color w:val="auto"/>
              </w:rPr>
            </w:pPr>
            <w:r>
              <w:rPr>
                <w:rFonts w:ascii="Arial" w:cs="Arial" w:eastAsia="Arial" w:hAnsi="Arial"/>
                <w:sz w:val="14"/>
                <w:szCs w:val="14"/>
                <w:b w:val="1"/>
                <w:bCs w:val="1"/>
                <w:color w:val="auto"/>
              </w:rPr>
              <w:t>Included</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19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18"/>
        </w:trPr>
        <w:tc>
          <w:tcPr>
            <w:tcW w:w="1120" w:type="dxa"/>
            <w:vAlign w:val="bottom"/>
          </w:tcPr>
          <w:p>
            <w:pPr>
              <w:jc w:val="right"/>
              <w:ind w:right="312"/>
              <w:spacing w:after="0" w:line="118" w:lineRule="exact"/>
              <w:rPr>
                <w:sz w:val="20"/>
                <w:szCs w:val="20"/>
                <w:color w:val="auto"/>
              </w:rPr>
            </w:pPr>
            <w:r>
              <w:rPr>
                <w:rFonts w:ascii="Arial" w:cs="Arial" w:eastAsia="Arial" w:hAnsi="Arial"/>
                <w:sz w:val="13"/>
                <w:szCs w:val="13"/>
                <w:b w:val="1"/>
                <w:bCs w:val="1"/>
                <w:color w:val="auto"/>
              </w:rPr>
              <w:t>Exhibit</w:t>
            </w:r>
          </w:p>
        </w:tc>
        <w:tc>
          <w:tcPr>
            <w:tcW w:w="1120" w:type="dxa"/>
            <w:vAlign w:val="bottom"/>
          </w:tcPr>
          <w:p>
            <w:pPr>
              <w:spacing w:after="0"/>
              <w:rPr>
                <w:sz w:val="10"/>
                <w:szCs w:val="10"/>
                <w:color w:val="auto"/>
              </w:rPr>
            </w:pPr>
          </w:p>
        </w:tc>
        <w:tc>
          <w:tcPr>
            <w:tcW w:w="4140" w:type="dxa"/>
            <w:vAlign w:val="bottom"/>
            <w:gridSpan w:val="25"/>
            <w:vMerge w:val="restart"/>
          </w:tcPr>
          <w:p>
            <w:pPr>
              <w:ind w:left="82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Period Ending</w:t>
            </w: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Number</w:t>
            </w:r>
          </w:p>
        </w:tc>
        <w:tc>
          <w:tcPr>
            <w:tcW w:w="112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25"/>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right"/>
              <w:ind w:right="112"/>
              <w:spacing w:after="0" w:line="184" w:lineRule="exact"/>
              <w:rPr>
                <w:sz w:val="20"/>
                <w:szCs w:val="20"/>
                <w:color w:val="auto"/>
              </w:rPr>
            </w:pPr>
            <w:r>
              <w:rPr>
                <w:rFonts w:ascii="Arial" w:cs="Arial" w:eastAsia="Arial" w:hAnsi="Arial"/>
                <w:sz w:val="18"/>
                <w:szCs w:val="18"/>
                <w:color w:val="auto"/>
              </w:rPr>
              <w:t>2.1</w:t>
            </w:r>
          </w:p>
        </w:tc>
        <w:tc>
          <w:tcPr>
            <w:tcW w:w="5260" w:type="dxa"/>
            <w:vAlign w:val="bottom"/>
            <w:gridSpan w:val="26"/>
          </w:tcPr>
          <w:p>
            <w:pPr>
              <w:spacing w:after="0" w:line="184" w:lineRule="exact"/>
              <w:rPr>
                <w:rFonts w:ascii="Arial" w:cs="Arial" w:eastAsia="Arial" w:hAnsi="Arial"/>
                <w:sz w:val="18"/>
                <w:szCs w:val="18"/>
                <w:color w:val="0000FF"/>
              </w:rPr>
            </w:pPr>
            <w:hyperlink r:id="rId108">
              <w:r>
                <w:rPr>
                  <w:rFonts w:ascii="Arial" w:cs="Arial" w:eastAsia="Arial" w:hAnsi="Arial"/>
                  <w:sz w:val="18"/>
                  <w:szCs w:val="18"/>
                  <w:color w:val="0000FF"/>
                </w:rPr>
                <w:t>Sales  Contract  of  Commodity  Premises  between  Shanghai</w:t>
              </w:r>
            </w:hyperlink>
          </w:p>
        </w:tc>
        <w:tc>
          <w:tcPr>
            <w:tcW w:w="900" w:type="dxa"/>
            <w:vAlign w:val="bottom"/>
          </w:tcPr>
          <w:p>
            <w:pPr>
              <w:jc w:val="center"/>
              <w:spacing w:after="0" w:line="184" w:lineRule="exact"/>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line="184" w:lineRule="exact"/>
              <w:rPr>
                <w:sz w:val="20"/>
                <w:szCs w:val="20"/>
                <w:color w:val="auto"/>
              </w:rPr>
            </w:pPr>
            <w:r>
              <w:rPr>
                <w:rFonts w:ascii="Arial" w:cs="Arial" w:eastAsia="Arial" w:hAnsi="Arial"/>
                <w:sz w:val="18"/>
                <w:szCs w:val="18"/>
                <w:color w:val="auto"/>
                <w:w w:val="89"/>
              </w:rPr>
              <w:t>6/30/04</w:t>
            </w:r>
          </w:p>
        </w:tc>
        <w:tc>
          <w:tcPr>
            <w:tcW w:w="800" w:type="dxa"/>
            <w:vAlign w:val="bottom"/>
          </w:tcPr>
          <w:p>
            <w:pPr>
              <w:jc w:val="center"/>
              <w:ind w:right="11"/>
              <w:spacing w:after="0" w:line="184" w:lineRule="exact"/>
              <w:rPr>
                <w:sz w:val="20"/>
                <w:szCs w:val="20"/>
                <w:color w:val="auto"/>
              </w:rPr>
            </w:pPr>
            <w:r>
              <w:rPr>
                <w:rFonts w:ascii="Arial" w:cs="Arial" w:eastAsia="Arial" w:hAnsi="Arial"/>
                <w:sz w:val="18"/>
                <w:szCs w:val="18"/>
                <w:color w:val="auto"/>
                <w:w w:val="87"/>
              </w:rPr>
              <w:t>2.3</w:t>
            </w:r>
          </w:p>
        </w:tc>
        <w:tc>
          <w:tcPr>
            <w:tcW w:w="1980" w:type="dxa"/>
            <w:vAlign w:val="bottom"/>
          </w:tcPr>
          <w:p>
            <w:pPr>
              <w:jc w:val="center"/>
              <w:ind w:right="873"/>
              <w:spacing w:after="0" w:line="184" w:lineRule="exact"/>
              <w:rPr>
                <w:sz w:val="20"/>
                <w:szCs w:val="20"/>
                <w:color w:val="auto"/>
              </w:rPr>
            </w:pPr>
            <w:r>
              <w:rPr>
                <w:rFonts w:ascii="Arial" w:cs="Arial" w:eastAsia="Arial" w:hAnsi="Arial"/>
                <w:sz w:val="18"/>
                <w:szCs w:val="18"/>
                <w:color w:val="auto"/>
                <w:w w:val="91"/>
              </w:rPr>
              <w:t>8/6/04</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8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108">
              <w:r>
                <w:rPr>
                  <w:rFonts w:ascii="Arial" w:cs="Arial" w:eastAsia="Arial" w:hAnsi="Arial"/>
                  <w:sz w:val="18"/>
                  <w:szCs w:val="18"/>
                  <w:color w:val="0000FF"/>
                  <w:w w:val="95"/>
                </w:rPr>
                <w:t>Waigaoqiao Free Trade Zone Xin Development Co., Ltd. and Amkor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Assembly &amp; Test (Shanghai) Co., Ltd. dated May 7, 2004.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4200" w:type="dxa"/>
            <w:vAlign w:val="bottom"/>
            <w:tcBorders>
              <w:top w:val="single" w:sz="8" w:color="0000FF"/>
            </w:tcBorders>
            <w:gridSpan w:val="12"/>
          </w:tcPr>
          <w:p>
            <w:pPr>
              <w:spacing w:after="0"/>
              <w:rPr>
                <w:rFonts w:ascii="Arial" w:cs="Arial" w:eastAsia="Arial" w:hAnsi="Arial"/>
                <w:sz w:val="18"/>
                <w:szCs w:val="18"/>
                <w:color w:val="0000FF"/>
              </w:rPr>
            </w:pPr>
            <w:hyperlink r:id="rId109">
              <w:r>
                <w:rPr>
                  <w:rFonts w:ascii="Arial" w:cs="Arial" w:eastAsia="Arial" w:hAnsi="Arial"/>
                  <w:sz w:val="18"/>
                  <w:szCs w:val="18"/>
                  <w:color w:val="0000FF"/>
                </w:rPr>
                <w:t>Certificate of Incorporation.</w:t>
              </w:r>
            </w:hyperlink>
          </w:p>
        </w:tc>
        <w:tc>
          <w:tcPr>
            <w:tcW w:w="1060" w:type="dxa"/>
            <w:vAlign w:val="bottom"/>
            <w:gridSpan w:val="14"/>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8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87"/>
              </w:rPr>
              <w:t>3.1</w:t>
            </w:r>
          </w:p>
        </w:tc>
        <w:tc>
          <w:tcPr>
            <w:tcW w:w="1980" w:type="dxa"/>
            <w:vAlign w:val="bottom"/>
          </w:tcPr>
          <w:p>
            <w:pPr>
              <w:jc w:val="center"/>
              <w:ind w:right="893"/>
              <w:spacing w:after="0"/>
              <w:rPr>
                <w:sz w:val="20"/>
                <w:szCs w:val="20"/>
                <w:color w:val="auto"/>
              </w:rPr>
            </w:pPr>
            <w:r>
              <w:rPr>
                <w:rFonts w:ascii="Arial" w:cs="Arial" w:eastAsia="Arial" w:hAnsi="Arial"/>
                <w:sz w:val="18"/>
                <w:szCs w:val="18"/>
                <w:color w:val="auto"/>
                <w:w w:val="93"/>
              </w:rPr>
              <w:t>10/6/97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5260" w:type="dxa"/>
            <w:vAlign w:val="bottom"/>
            <w:gridSpan w:val="26"/>
          </w:tcPr>
          <w:p>
            <w:pPr>
              <w:spacing w:after="0"/>
              <w:rPr>
                <w:rFonts w:ascii="Arial" w:cs="Arial" w:eastAsia="Arial" w:hAnsi="Arial"/>
                <w:sz w:val="18"/>
                <w:szCs w:val="18"/>
                <w:color w:val="0000FF"/>
              </w:rPr>
            </w:pPr>
            <w:hyperlink r:id="rId110">
              <w:r>
                <w:rPr>
                  <w:rFonts w:ascii="Arial" w:cs="Arial" w:eastAsia="Arial" w:hAnsi="Arial"/>
                  <w:sz w:val="18"/>
                  <w:szCs w:val="18"/>
                  <w:color w:val="0000FF"/>
                </w:rPr>
                <w:t>Certificate of Correction to Certificate of Incorporation.</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5"/>
              </w:rPr>
              <w:t>POSAM</w:t>
            </w:r>
          </w:p>
        </w:tc>
        <w:tc>
          <w:tcPr>
            <w:tcW w:w="118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1980" w:type="dxa"/>
            <w:vAlign w:val="bottom"/>
          </w:tcPr>
          <w:p>
            <w:pPr>
              <w:jc w:val="center"/>
              <w:ind w:right="893"/>
              <w:spacing w:after="0"/>
              <w:rPr>
                <w:sz w:val="20"/>
                <w:szCs w:val="20"/>
                <w:color w:val="auto"/>
              </w:rPr>
            </w:pPr>
            <w:r>
              <w:rPr>
                <w:rFonts w:ascii="Arial" w:cs="Arial" w:eastAsia="Arial" w:hAnsi="Arial"/>
                <w:sz w:val="18"/>
                <w:szCs w:val="18"/>
                <w:color w:val="auto"/>
                <w:w w:val="93"/>
              </w:rPr>
              <w:t>8/26/98</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37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r:id="rId111">
              <w:r>
                <w:rPr>
                  <w:rFonts w:ascii="Arial" w:cs="Arial" w:eastAsia="Arial" w:hAnsi="Arial"/>
                  <w:sz w:val="18"/>
                  <w:szCs w:val="18"/>
                  <w:color w:val="0000FF"/>
                  <w:w w:val="88"/>
                </w:rPr>
                <w:t>Restated Bylaws as amended on November 5, 2013.</w:t>
              </w:r>
            </w:hyperlink>
          </w:p>
        </w:tc>
        <w:tc>
          <w:tcPr>
            <w:tcW w:w="260" w:type="dxa"/>
            <w:vAlign w:val="bottom"/>
            <w:tcBorders>
              <w:top w:val="single" w:sz="8" w:color="0000FF"/>
            </w:tcBorders>
            <w:gridSpan w:val="2"/>
          </w:tcPr>
          <w:p>
            <w:pPr>
              <w:spacing w:after="0"/>
              <w:rPr>
                <w:sz w:val="18"/>
                <w:szCs w:val="18"/>
                <w:color w:val="auto"/>
              </w:rPr>
            </w:pPr>
          </w:p>
        </w:tc>
        <w:tc>
          <w:tcPr>
            <w:tcW w:w="1240" w:type="dxa"/>
            <w:vAlign w:val="bottom"/>
            <w:gridSpan w:val="16"/>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12/31/13</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87"/>
              </w:rPr>
              <w:t>3.3</w:t>
            </w:r>
          </w:p>
        </w:tc>
        <w:tc>
          <w:tcPr>
            <w:tcW w:w="1980" w:type="dxa"/>
            <w:vAlign w:val="bottom"/>
          </w:tcPr>
          <w:p>
            <w:pPr>
              <w:jc w:val="center"/>
              <w:ind w:right="893"/>
              <w:spacing w:after="0"/>
              <w:rPr>
                <w:sz w:val="20"/>
                <w:szCs w:val="20"/>
                <w:color w:val="auto"/>
              </w:rPr>
            </w:pPr>
            <w:r>
              <w:rPr>
                <w:rFonts w:ascii="Arial" w:cs="Arial" w:eastAsia="Arial" w:hAnsi="Arial"/>
                <w:sz w:val="18"/>
                <w:szCs w:val="18"/>
                <w:color w:val="auto"/>
                <w:w w:val="93"/>
              </w:rPr>
              <w:t>2/28/14</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5260" w:type="dxa"/>
            <w:vAlign w:val="bottom"/>
            <w:gridSpan w:val="26"/>
          </w:tcPr>
          <w:p>
            <w:pPr>
              <w:spacing w:after="0"/>
              <w:rPr>
                <w:rFonts w:ascii="Arial" w:cs="Arial" w:eastAsia="Arial" w:hAnsi="Arial"/>
                <w:sz w:val="18"/>
                <w:szCs w:val="18"/>
                <w:color w:val="0000FF"/>
              </w:rPr>
            </w:pPr>
            <w:hyperlink r:id="rId112">
              <w:r>
                <w:rPr>
                  <w:rFonts w:ascii="Arial" w:cs="Arial" w:eastAsia="Arial" w:hAnsi="Arial"/>
                  <w:sz w:val="18"/>
                  <w:szCs w:val="18"/>
                  <w:color w:val="0000FF"/>
                </w:rPr>
                <w:t>Specimen Common Stock Certificate.</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8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87"/>
              </w:rPr>
              <w:t>4.1</w:t>
            </w:r>
          </w:p>
        </w:tc>
        <w:tc>
          <w:tcPr>
            <w:tcW w:w="1980" w:type="dxa"/>
            <w:vAlign w:val="bottom"/>
          </w:tcPr>
          <w:p>
            <w:pPr>
              <w:jc w:val="center"/>
              <w:ind w:right="893"/>
              <w:spacing w:after="0"/>
              <w:rPr>
                <w:sz w:val="20"/>
                <w:szCs w:val="20"/>
                <w:color w:val="auto"/>
              </w:rPr>
            </w:pPr>
            <w:r>
              <w:rPr>
                <w:rFonts w:ascii="Arial" w:cs="Arial" w:eastAsia="Arial" w:hAnsi="Arial"/>
                <w:sz w:val="18"/>
                <w:szCs w:val="18"/>
                <w:color w:val="auto"/>
                <w:w w:val="93"/>
              </w:rPr>
              <w:t>3/31/98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5260" w:type="dxa"/>
            <w:vAlign w:val="bottom"/>
            <w:gridSpan w:val="26"/>
          </w:tcPr>
          <w:p>
            <w:pPr>
              <w:spacing w:after="0"/>
              <w:rPr>
                <w:rFonts w:ascii="Arial" w:cs="Arial" w:eastAsia="Arial" w:hAnsi="Arial"/>
                <w:sz w:val="18"/>
                <w:szCs w:val="18"/>
                <w:color w:val="0000FF"/>
                <w:w w:val="93"/>
              </w:rPr>
            </w:pPr>
            <w:hyperlink r:id="rId113">
              <w:r>
                <w:rPr>
                  <w:rFonts w:ascii="Arial" w:cs="Arial" w:eastAsia="Arial" w:hAnsi="Arial"/>
                  <w:sz w:val="18"/>
                  <w:szCs w:val="18"/>
                  <w:color w:val="0000FF"/>
                  <w:w w:val="93"/>
                </w:rPr>
                <w:t>Indenture, dated March 15, 2019, by and between Amkor Technology,</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18"/>
                <w:szCs w:val="18"/>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87"/>
              </w:rPr>
              <w:t>4.1</w:t>
            </w:r>
          </w:p>
        </w:tc>
        <w:tc>
          <w:tcPr>
            <w:tcW w:w="1980" w:type="dxa"/>
            <w:vAlign w:val="bottom"/>
          </w:tcPr>
          <w:p>
            <w:pPr>
              <w:jc w:val="center"/>
              <w:ind w:right="873"/>
              <w:spacing w:after="0"/>
              <w:rPr>
                <w:sz w:val="20"/>
                <w:szCs w:val="20"/>
                <w:color w:val="auto"/>
              </w:rPr>
            </w:pPr>
            <w:r>
              <w:rPr>
                <w:rFonts w:ascii="Arial" w:cs="Arial" w:eastAsia="Arial" w:hAnsi="Arial"/>
                <w:sz w:val="18"/>
                <w:szCs w:val="18"/>
                <w:color w:val="auto"/>
                <w:w w:val="91"/>
              </w:rPr>
              <w:t>3/5/19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7"/>
              </w:rPr>
            </w:pPr>
            <w:hyperlink r:id="rId113">
              <w:r>
                <w:rPr>
                  <w:rFonts w:ascii="Arial" w:cs="Arial" w:eastAsia="Arial" w:hAnsi="Arial"/>
                  <w:sz w:val="18"/>
                  <w:szCs w:val="18"/>
                  <w:color w:val="0000FF"/>
                  <w:w w:val="97"/>
                </w:rPr>
                <w:t>Inc. and U.S. Bank National Association, as trustee, regarding the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60" w:type="dxa"/>
            <w:vAlign w:val="bottom"/>
            <w:gridSpan w:val="21"/>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6.</w:t>
              </w:r>
              <w:r>
                <w:rPr>
                  <w:rFonts w:ascii="Arial" w:cs="Arial" w:eastAsia="Arial" w:hAnsi="Arial"/>
                  <w:sz w:val="18"/>
                  <w:szCs w:val="18"/>
                  <w:u w:val="single" w:color="auto"/>
                  <w:color w:val="0000FF"/>
                </w:rPr>
                <w:t>625%</w:t>
              </w:r>
              <w:r>
                <w:rPr>
                  <w:rFonts w:ascii="Arial" w:cs="Arial" w:eastAsia="Arial" w:hAnsi="Arial"/>
                  <w:sz w:val="18"/>
                  <w:szCs w:val="18"/>
                  <w:color w:val="0000FF"/>
                </w:rPr>
                <w:t xml:space="preserve"> Senior Notes due 2027.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5260" w:type="dxa"/>
            <w:vAlign w:val="bottom"/>
            <w:gridSpan w:val="26"/>
          </w:tcPr>
          <w:p>
            <w:pPr>
              <w:spacing w:after="0"/>
              <w:rPr>
                <w:rFonts w:ascii="Arial" w:cs="Arial" w:eastAsia="Arial" w:hAnsi="Arial"/>
                <w:sz w:val="18"/>
                <w:szCs w:val="18"/>
                <w:color w:val="0000FF"/>
              </w:rPr>
            </w:pPr>
            <w:hyperlink r:id="rId114">
              <w:r>
                <w:rPr>
                  <w:rFonts w:ascii="Arial" w:cs="Arial" w:eastAsia="Arial" w:hAnsi="Arial"/>
                  <w:sz w:val="18"/>
                  <w:szCs w:val="18"/>
                  <w:color w:val="0000FF"/>
                </w:rPr>
                <w:t>Description of the Registrant’s Securities Registered Pursuant to</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12/31/19</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87"/>
              </w:rPr>
              <w:t>4.3</w:t>
            </w:r>
          </w:p>
        </w:tc>
        <w:tc>
          <w:tcPr>
            <w:tcW w:w="1980" w:type="dxa"/>
            <w:vAlign w:val="bottom"/>
          </w:tcPr>
          <w:p>
            <w:pPr>
              <w:jc w:val="center"/>
              <w:ind w:right="893"/>
              <w:spacing w:after="0"/>
              <w:rPr>
                <w:sz w:val="20"/>
                <w:szCs w:val="20"/>
                <w:color w:val="auto"/>
              </w:rPr>
            </w:pPr>
            <w:r>
              <w:rPr>
                <w:rFonts w:ascii="Arial" w:cs="Arial" w:eastAsia="Arial" w:hAnsi="Arial"/>
                <w:sz w:val="18"/>
                <w:szCs w:val="18"/>
                <w:color w:val="auto"/>
                <w:w w:val="93"/>
              </w:rPr>
              <w:t>2/19/20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Section 12 of the Securities Exchange Act of 1934.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4500" w:type="dxa"/>
            <w:vAlign w:val="bottom"/>
            <w:tcBorders>
              <w:bottom w:val="single" w:sz="8" w:color="0000FF"/>
            </w:tcBorders>
            <w:gridSpan w:val="15"/>
          </w:tcPr>
          <w:p>
            <w:pPr>
              <w:spacing w:after="0"/>
              <w:rPr>
                <w:rFonts w:ascii="Arial" w:cs="Arial" w:eastAsia="Arial" w:hAnsi="Arial"/>
                <w:sz w:val="18"/>
                <w:szCs w:val="18"/>
                <w:color w:val="0000FF"/>
                <w:w w:val="92"/>
              </w:rPr>
            </w:pPr>
            <w:hyperlink r:id="rId112">
              <w:r>
                <w:rPr>
                  <w:rFonts w:ascii="Arial" w:cs="Arial" w:eastAsia="Arial" w:hAnsi="Arial"/>
                  <w:sz w:val="18"/>
                  <w:szCs w:val="18"/>
                  <w:color w:val="0000FF"/>
                  <w:w w:val="92"/>
                </w:rPr>
                <w:t>Form of Indemnification Agreement for directors and officers.</w:t>
              </w:r>
            </w:hyperlink>
          </w:p>
        </w:tc>
        <w:tc>
          <w:tcPr>
            <w:tcW w:w="760" w:type="dxa"/>
            <w:vAlign w:val="bottom"/>
            <w:gridSpan w:val="11"/>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tcPr>
          <w:p>
            <w:pPr>
              <w:jc w:val="center"/>
              <w:ind w:right="893"/>
              <w:spacing w:after="0"/>
              <w:rPr>
                <w:sz w:val="20"/>
                <w:szCs w:val="20"/>
                <w:color w:val="auto"/>
              </w:rPr>
            </w:pPr>
            <w:r>
              <w:rPr>
                <w:rFonts w:ascii="Arial" w:cs="Arial" w:eastAsia="Arial" w:hAnsi="Arial"/>
                <w:sz w:val="18"/>
                <w:szCs w:val="18"/>
                <w:color w:val="auto"/>
                <w:w w:val="93"/>
              </w:rPr>
              <w:t>3/31/98</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5260" w:type="dxa"/>
            <w:vAlign w:val="bottom"/>
            <w:gridSpan w:val="26"/>
          </w:tcPr>
          <w:p>
            <w:pPr>
              <w:spacing w:after="0"/>
              <w:rPr>
                <w:rFonts w:ascii="Arial" w:cs="Arial" w:eastAsia="Arial" w:hAnsi="Arial"/>
                <w:sz w:val="18"/>
                <w:szCs w:val="18"/>
                <w:color w:val="0000FF"/>
                <w:w w:val="94"/>
              </w:rPr>
            </w:pPr>
            <w:hyperlink r:id="rId115">
              <w:r>
                <w:rPr>
                  <w:rFonts w:ascii="Arial" w:cs="Arial" w:eastAsia="Arial" w:hAnsi="Arial"/>
                  <w:sz w:val="18"/>
                  <w:szCs w:val="18"/>
                  <w:color w:val="0000FF"/>
                  <w:w w:val="94"/>
                </w:rPr>
                <w:t>2009 Voting Agreement, dated as of March 26, 2009, between Amkor</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tcPr>
          <w:p>
            <w:pPr>
              <w:jc w:val="center"/>
              <w:ind w:right="873"/>
              <w:spacing w:after="0"/>
              <w:rPr>
                <w:sz w:val="20"/>
                <w:szCs w:val="20"/>
                <w:color w:val="auto"/>
              </w:rPr>
            </w:pPr>
            <w:r>
              <w:rPr>
                <w:rFonts w:ascii="Arial" w:cs="Arial" w:eastAsia="Arial" w:hAnsi="Arial"/>
                <w:sz w:val="18"/>
                <w:szCs w:val="18"/>
                <w:color w:val="auto"/>
                <w:w w:val="91"/>
              </w:rPr>
              <w:t>4/1/09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115">
              <w:r>
                <w:rPr>
                  <w:rFonts w:ascii="Arial" w:cs="Arial" w:eastAsia="Arial" w:hAnsi="Arial"/>
                  <w:sz w:val="18"/>
                  <w:szCs w:val="18"/>
                  <w:color w:val="0000FF"/>
                  <w:w w:val="89"/>
                </w:rPr>
                <w:t>Technology, Inc., James J. Kim and 915 Investments, LP.</w:t>
              </w:r>
            </w:hyperlink>
          </w:p>
        </w:tc>
        <w:tc>
          <w:tcPr>
            <w:tcW w:w="9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10.3</w:t>
            </w:r>
          </w:p>
        </w:tc>
        <w:tc>
          <w:tcPr>
            <w:tcW w:w="5260" w:type="dxa"/>
            <w:vAlign w:val="bottom"/>
            <w:gridSpan w:val="26"/>
          </w:tcPr>
          <w:p>
            <w:pPr>
              <w:spacing w:after="0"/>
              <w:rPr>
                <w:rFonts w:ascii="Arial" w:cs="Arial" w:eastAsia="Arial" w:hAnsi="Arial"/>
                <w:sz w:val="18"/>
                <w:szCs w:val="18"/>
                <w:color w:val="0000FF"/>
                <w:w w:val="98"/>
              </w:rPr>
            </w:pPr>
            <w:hyperlink r:id="rId116">
              <w:r>
                <w:rPr>
                  <w:rFonts w:ascii="Arial" w:cs="Arial" w:eastAsia="Arial" w:hAnsi="Arial"/>
                  <w:sz w:val="18"/>
                  <w:szCs w:val="18"/>
                  <w:color w:val="0000FF"/>
                  <w:w w:val="98"/>
                </w:rPr>
                <w:t>Employment Letter Agreement, dated February 27, 2017, between</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tcPr>
          <w:p>
            <w:pPr>
              <w:jc w:val="center"/>
              <w:ind w:right="873"/>
              <w:spacing w:after="0"/>
              <w:rPr>
                <w:sz w:val="20"/>
                <w:szCs w:val="20"/>
                <w:color w:val="auto"/>
              </w:rPr>
            </w:pPr>
            <w:r>
              <w:rPr>
                <w:rFonts w:ascii="Arial" w:cs="Arial" w:eastAsia="Arial" w:hAnsi="Arial"/>
                <w:sz w:val="18"/>
                <w:szCs w:val="18"/>
                <w:color w:val="auto"/>
                <w:w w:val="91"/>
              </w:rPr>
              <w:t>3/3/17</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Amkor Technology, Inc. and Stephen D. Kelley.*</w:t>
              </w:r>
            </w:hyperlink>
          </w:p>
        </w:tc>
        <w:tc>
          <w:tcPr>
            <w:tcW w:w="152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5260" w:type="dxa"/>
            <w:vAlign w:val="bottom"/>
            <w:tcBorders>
              <w:bottom w:val="single" w:sz="8" w:color="0000FF"/>
            </w:tcBorders>
            <w:gridSpan w:val="26"/>
          </w:tcPr>
          <w:p>
            <w:pPr>
              <w:spacing w:after="0"/>
              <w:rPr>
                <w:rFonts w:ascii="Arial" w:cs="Arial" w:eastAsia="Arial" w:hAnsi="Arial"/>
                <w:sz w:val="18"/>
                <w:szCs w:val="18"/>
                <w:color w:val="0000FF"/>
                <w:w w:val="95"/>
              </w:rPr>
            </w:pPr>
            <w:hyperlink r:id="rId117">
              <w:r>
                <w:rPr>
                  <w:rFonts w:ascii="Arial" w:cs="Arial" w:eastAsia="Arial" w:hAnsi="Arial"/>
                  <w:sz w:val="18"/>
                  <w:szCs w:val="18"/>
                  <w:color w:val="0000FF"/>
                  <w:w w:val="95"/>
                </w:rPr>
                <w:t>Form of Stock Option Award Agreement under the Second Amended</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980" w:type="dxa"/>
            <w:vAlign w:val="bottom"/>
          </w:tcPr>
          <w:p>
            <w:pPr>
              <w:jc w:val="center"/>
              <w:ind w:right="873"/>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60" w:type="dxa"/>
            <w:vAlign w:val="bottom"/>
            <w:gridSpan w:val="26"/>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and Restated 2007 Equity Incentive Plan.*</w:t>
              </w:r>
            </w:hyperlink>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10.5</w:t>
            </w:r>
          </w:p>
        </w:tc>
        <w:tc>
          <w:tcPr>
            <w:tcW w:w="5260" w:type="dxa"/>
            <w:vAlign w:val="bottom"/>
            <w:gridSpan w:val="26"/>
          </w:tcPr>
          <w:p>
            <w:pPr>
              <w:spacing w:after="0"/>
              <w:rPr>
                <w:rFonts w:ascii="Arial" w:cs="Arial" w:eastAsia="Arial" w:hAnsi="Arial"/>
                <w:sz w:val="18"/>
                <w:szCs w:val="18"/>
                <w:color w:val="0000FF"/>
                <w:w w:val="98"/>
              </w:rPr>
            </w:pPr>
            <w:hyperlink r:id="rId118">
              <w:r>
                <w:rPr>
                  <w:rFonts w:ascii="Arial" w:cs="Arial" w:eastAsia="Arial" w:hAnsi="Arial"/>
                  <w:sz w:val="18"/>
                  <w:szCs w:val="18"/>
                  <w:color w:val="0000FF"/>
                  <w:w w:val="98"/>
                </w:rPr>
                <w:t>Form  of  Restricted  Stock  Award  Agreement  under  the  Second</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980" w:type="dxa"/>
            <w:vAlign w:val="bottom"/>
          </w:tcPr>
          <w:p>
            <w:pPr>
              <w:jc w:val="center"/>
              <w:ind w:right="873"/>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Amended and Restated 2007 Equity Incentive Plan.*</w:t>
              </w:r>
            </w:hyperlink>
          </w:p>
        </w:tc>
        <w:tc>
          <w:tcPr>
            <w:tcW w:w="14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10.6</w:t>
            </w:r>
          </w:p>
        </w:tc>
        <w:tc>
          <w:tcPr>
            <w:tcW w:w="5260" w:type="dxa"/>
            <w:vAlign w:val="bottom"/>
            <w:gridSpan w:val="26"/>
          </w:tcPr>
          <w:p>
            <w:pPr>
              <w:spacing w:after="0"/>
              <w:rPr>
                <w:rFonts w:ascii="Arial" w:cs="Arial" w:eastAsia="Arial" w:hAnsi="Arial"/>
                <w:sz w:val="18"/>
                <w:szCs w:val="18"/>
                <w:color w:val="0000FF"/>
                <w:w w:val="97"/>
              </w:rPr>
            </w:pPr>
            <w:hyperlink r:id="rId119">
              <w:r>
                <w:rPr>
                  <w:rFonts w:ascii="Arial" w:cs="Arial" w:eastAsia="Arial" w:hAnsi="Arial"/>
                  <w:sz w:val="18"/>
                  <w:szCs w:val="18"/>
                  <w:color w:val="0000FF"/>
                  <w:w w:val="97"/>
                </w:rPr>
                <w:t>Form of Outside Director Stock Option Award Agreement under the</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3/31/17</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980" w:type="dxa"/>
            <w:vAlign w:val="bottom"/>
          </w:tcPr>
          <w:p>
            <w:pPr>
              <w:jc w:val="center"/>
              <w:ind w:right="873"/>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Second Amended and Restated 2007 Equity Incentive Plan.*</w:t>
              </w:r>
            </w:hyperlink>
          </w:p>
        </w:tc>
        <w:tc>
          <w:tcPr>
            <w:tcW w:w="6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4380" w:type="dxa"/>
            <w:vAlign w:val="bottom"/>
            <w:tcBorders>
              <w:top w:val="single" w:sz="8" w:color="0000FF"/>
            </w:tcBorders>
            <w:gridSpan w:val="14"/>
          </w:tcPr>
          <w:p>
            <w:pPr>
              <w:spacing w:after="0"/>
              <w:rPr>
                <w:rFonts w:ascii="Arial" w:cs="Arial" w:eastAsia="Arial" w:hAnsi="Arial"/>
                <w:sz w:val="18"/>
                <w:szCs w:val="18"/>
                <w:color w:val="0000FF"/>
                <w:w w:val="90"/>
              </w:rPr>
            </w:pPr>
            <w:hyperlink r:id="rId120">
              <w:r>
                <w:rPr>
                  <w:rFonts w:ascii="Arial" w:cs="Arial" w:eastAsia="Arial" w:hAnsi="Arial"/>
                  <w:sz w:val="18"/>
                  <w:szCs w:val="18"/>
                  <w:color w:val="0000FF"/>
                  <w:w w:val="90"/>
                </w:rPr>
                <w:t>Second Amended and Restated 2007 Equity Incentive Plan*</w:t>
              </w:r>
            </w:hyperlink>
          </w:p>
        </w:tc>
        <w:tc>
          <w:tcPr>
            <w:tcW w:w="880" w:type="dxa"/>
            <w:vAlign w:val="bottom"/>
            <w:gridSpan w:val="1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tcPr>
          <w:p>
            <w:pPr>
              <w:jc w:val="center"/>
              <w:ind w:right="873"/>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220" w:type="dxa"/>
            <w:vAlign w:val="bottom"/>
            <w:gridSpan w:val="12"/>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10.8</w:t>
            </w:r>
          </w:p>
        </w:tc>
        <w:tc>
          <w:tcPr>
            <w:tcW w:w="5260" w:type="dxa"/>
            <w:vAlign w:val="bottom"/>
            <w:gridSpan w:val="26"/>
          </w:tcPr>
          <w:p>
            <w:pPr>
              <w:spacing w:after="0"/>
              <w:rPr>
                <w:rFonts w:ascii="Arial" w:cs="Arial" w:eastAsia="Arial" w:hAnsi="Arial"/>
                <w:sz w:val="18"/>
                <w:szCs w:val="18"/>
                <w:color w:val="0000FF"/>
              </w:rPr>
            </w:pPr>
            <w:hyperlink r:id="rId121">
              <w:r>
                <w:rPr>
                  <w:rFonts w:ascii="Arial" w:cs="Arial" w:eastAsia="Arial" w:hAnsi="Arial"/>
                  <w:sz w:val="18"/>
                  <w:szCs w:val="18"/>
                  <w:color w:val="0000FF"/>
                </w:rPr>
                <w:t>Amendment One to Second Amended and Restated 2007 Equity</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6/30/19</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980" w:type="dxa"/>
            <w:vAlign w:val="bottom"/>
          </w:tcPr>
          <w:p>
            <w:pPr>
              <w:jc w:val="center"/>
              <w:ind w:right="873"/>
              <w:spacing w:after="0"/>
              <w:rPr>
                <w:sz w:val="20"/>
                <w:szCs w:val="20"/>
                <w:color w:val="auto"/>
              </w:rPr>
            </w:pPr>
            <w:r>
              <w:rPr>
                <w:rFonts w:ascii="Arial" w:cs="Arial" w:eastAsia="Arial" w:hAnsi="Arial"/>
                <w:sz w:val="18"/>
                <w:szCs w:val="18"/>
                <w:color w:val="auto"/>
                <w:w w:val="91"/>
              </w:rPr>
              <w:t>8/1/19</w:t>
            </w:r>
          </w:p>
        </w:tc>
        <w:tc>
          <w:tcPr>
            <w:tcW w:w="0" w:type="dxa"/>
            <w:vAlign w:val="bottom"/>
          </w:tcPr>
          <w:p>
            <w:pPr>
              <w:spacing w:after="0"/>
              <w:rPr>
                <w:sz w:val="1"/>
                <w:szCs w:val="1"/>
                <w:color w:val="auto"/>
              </w:rPr>
            </w:pPr>
          </w:p>
        </w:tc>
      </w:tr>
      <w:tr>
        <w:trPr>
          <w:trHeight w:val="155"/>
        </w:trPr>
        <w:tc>
          <w:tcPr>
            <w:tcW w:w="1120" w:type="dxa"/>
            <w:vAlign w:val="bottom"/>
            <w:vMerge w:val="restart"/>
          </w:tcPr>
          <w:p>
            <w:pPr>
              <w:jc w:val="right"/>
              <w:ind w:right="112"/>
              <w:spacing w:after="0"/>
              <w:rPr>
                <w:sz w:val="20"/>
                <w:szCs w:val="20"/>
                <w:color w:val="auto"/>
              </w:rPr>
            </w:pPr>
            <w:r>
              <w:rPr>
                <w:rFonts w:ascii="Arial" w:cs="Arial" w:eastAsia="Arial" w:hAnsi="Arial"/>
                <w:sz w:val="18"/>
                <w:szCs w:val="18"/>
                <w:color w:val="auto"/>
              </w:rPr>
              <w:t>10.9</w:t>
            </w:r>
          </w:p>
        </w:tc>
        <w:tc>
          <w:tcPr>
            <w:tcW w:w="50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Incentive Plan*</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6/30/20</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vMerge w:val="restart"/>
          </w:tcPr>
          <w:p>
            <w:pPr>
              <w:jc w:val="center"/>
              <w:ind w:right="893"/>
              <w:spacing w:after="0"/>
              <w:rPr>
                <w:sz w:val="20"/>
                <w:szCs w:val="20"/>
                <w:color w:val="auto"/>
              </w:rPr>
            </w:pPr>
            <w:r>
              <w:rPr>
                <w:rFonts w:ascii="Arial" w:cs="Arial" w:eastAsia="Arial" w:hAnsi="Arial"/>
                <w:sz w:val="18"/>
                <w:szCs w:val="18"/>
                <w:color w:val="auto"/>
                <w:w w:val="93"/>
              </w:rPr>
              <w:t>7/30/20</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00" w:type="dxa"/>
            <w:vAlign w:val="bottom"/>
            <w:gridSpan w:val="1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5260" w:type="dxa"/>
            <w:vAlign w:val="bottom"/>
            <w:gridSpan w:val="26"/>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Form of Global Stock Option Award Agreement under the Second</w:t>
              </w:r>
            </w:hyperlink>
          </w:p>
        </w:tc>
        <w:tc>
          <w:tcPr>
            <w:tcW w:w="9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Amended and Restated 2007 Equity Incentive Plan.*</w:t>
              </w:r>
            </w:hyperlink>
          </w:p>
        </w:tc>
        <w:tc>
          <w:tcPr>
            <w:tcW w:w="1300" w:type="dxa"/>
            <w:vAlign w:val="bottom"/>
            <w:tcBorders>
              <w:top w:val="single" w:sz="8" w:color="0000FF"/>
            </w:tcBorders>
            <w:gridSpan w:val="10"/>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980" w:type="dxa"/>
            <w:vAlign w:val="bottom"/>
          </w:tcPr>
          <w:p>
            <w:pPr>
              <w:ind w:left="1260"/>
              <w:spacing w:after="0"/>
              <w:rPr>
                <w:sz w:val="20"/>
                <w:szCs w:val="20"/>
                <w:color w:val="auto"/>
              </w:rPr>
            </w:pPr>
            <w:r>
              <w:rPr>
                <w:rFonts w:ascii="Arial" w:cs="Arial" w:eastAsia="Arial" w:hAnsi="Arial"/>
                <w:sz w:val="14"/>
                <w:szCs w:val="14"/>
                <w:b w:val="1"/>
                <w:bCs w:val="1"/>
                <w:color w:val="auto"/>
              </w:rPr>
              <w:t>Included</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vMerge w:val="continue"/>
          </w:tcPr>
          <w:p>
            <w:pPr>
              <w:spacing w:after="0"/>
              <w:rPr>
                <w:sz w:val="16"/>
                <w:szCs w:val="16"/>
                <w:color w:val="auto"/>
              </w:rPr>
            </w:pPr>
          </w:p>
        </w:tc>
        <w:tc>
          <w:tcPr>
            <w:tcW w:w="19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18"/>
        </w:trPr>
        <w:tc>
          <w:tcPr>
            <w:tcW w:w="1120" w:type="dxa"/>
            <w:vAlign w:val="bottom"/>
          </w:tcPr>
          <w:p>
            <w:pPr>
              <w:jc w:val="right"/>
              <w:ind w:right="312"/>
              <w:spacing w:after="0" w:line="118" w:lineRule="exact"/>
              <w:rPr>
                <w:sz w:val="20"/>
                <w:szCs w:val="20"/>
                <w:color w:val="auto"/>
              </w:rPr>
            </w:pPr>
            <w:r>
              <w:rPr>
                <w:rFonts w:ascii="Arial" w:cs="Arial" w:eastAsia="Arial" w:hAnsi="Arial"/>
                <w:sz w:val="13"/>
                <w:szCs w:val="13"/>
                <w:b w:val="1"/>
                <w:bCs w:val="1"/>
                <w:color w:val="auto"/>
              </w:rPr>
              <w:t>Exhibit</w:t>
            </w: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80" w:type="dxa"/>
            <w:vAlign w:val="bottom"/>
            <w:gridSpan w:val="30"/>
            <w:vMerge w:val="restart"/>
          </w:tcPr>
          <w:p>
            <w:pPr>
              <w:ind w:left="54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 Ending</w:t>
            </w:r>
          </w:p>
        </w:tc>
        <w:tc>
          <w:tcPr>
            <w:tcW w:w="80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8"/>
              </w:rPr>
              <w:t>Exhibit</w:t>
            </w:r>
          </w:p>
        </w:tc>
        <w:tc>
          <w:tcPr>
            <w:tcW w:w="1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30"/>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right"/>
              <w:ind w:right="112"/>
              <w:spacing w:after="0" w:line="184" w:lineRule="exact"/>
              <w:rPr>
                <w:sz w:val="20"/>
                <w:szCs w:val="20"/>
                <w:color w:val="auto"/>
              </w:rPr>
            </w:pPr>
            <w:r>
              <w:rPr>
                <w:rFonts w:ascii="Arial" w:cs="Arial" w:eastAsia="Arial" w:hAnsi="Arial"/>
                <w:sz w:val="18"/>
                <w:szCs w:val="18"/>
                <w:color w:val="auto"/>
              </w:rPr>
              <w:t>10.10</w:t>
            </w:r>
          </w:p>
        </w:tc>
        <w:tc>
          <w:tcPr>
            <w:tcW w:w="5280" w:type="dxa"/>
            <w:vAlign w:val="bottom"/>
            <w:gridSpan w:val="34"/>
          </w:tcPr>
          <w:p>
            <w:pPr>
              <w:spacing w:after="0" w:line="184"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Form of Global Restricted Stock Award Agreement under the Second</w:t>
              </w:r>
            </w:hyperlink>
          </w:p>
        </w:tc>
        <w:tc>
          <w:tcPr>
            <w:tcW w:w="820" w:type="dxa"/>
            <w:vAlign w:val="bottom"/>
          </w:tcPr>
          <w:p>
            <w:pPr>
              <w:jc w:val="center"/>
              <w:spacing w:after="0" w:line="184" w:lineRule="exact"/>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line="184" w:lineRule="exact"/>
              <w:rPr>
                <w:sz w:val="20"/>
                <w:szCs w:val="20"/>
                <w:color w:val="auto"/>
              </w:rPr>
            </w:pPr>
            <w:r>
              <w:rPr>
                <w:rFonts w:ascii="Arial" w:cs="Arial" w:eastAsia="Arial" w:hAnsi="Arial"/>
                <w:sz w:val="18"/>
                <w:szCs w:val="18"/>
                <w:color w:val="auto"/>
                <w:w w:val="89"/>
              </w:rPr>
              <w:t>6/30/20</w:t>
            </w:r>
          </w:p>
        </w:tc>
        <w:tc>
          <w:tcPr>
            <w:tcW w:w="800" w:type="dxa"/>
            <w:vAlign w:val="bottom"/>
          </w:tcPr>
          <w:p>
            <w:pPr>
              <w:jc w:val="center"/>
              <w:spacing w:after="0" w:line="184" w:lineRule="exact"/>
              <w:rPr>
                <w:sz w:val="20"/>
                <w:szCs w:val="20"/>
                <w:color w:val="auto"/>
              </w:rPr>
            </w:pPr>
            <w:r>
              <w:rPr>
                <w:rFonts w:ascii="Arial" w:cs="Arial" w:eastAsia="Arial" w:hAnsi="Arial"/>
                <w:sz w:val="18"/>
                <w:szCs w:val="18"/>
                <w:color w:val="auto"/>
                <w:w w:val="91"/>
              </w:rPr>
              <w:t>10.2</w:t>
            </w:r>
          </w:p>
        </w:tc>
        <w:tc>
          <w:tcPr>
            <w:tcW w:w="1980" w:type="dxa"/>
            <w:vAlign w:val="bottom"/>
          </w:tcPr>
          <w:p>
            <w:pPr>
              <w:jc w:val="center"/>
              <w:ind w:right="892"/>
              <w:spacing w:after="0" w:line="184" w:lineRule="exact"/>
              <w:rPr>
                <w:sz w:val="20"/>
                <w:szCs w:val="20"/>
                <w:color w:val="auto"/>
              </w:rPr>
            </w:pPr>
            <w:r>
              <w:rPr>
                <w:rFonts w:ascii="Arial" w:cs="Arial" w:eastAsia="Arial" w:hAnsi="Arial"/>
                <w:sz w:val="18"/>
                <w:szCs w:val="18"/>
                <w:color w:val="auto"/>
                <w:w w:val="93"/>
              </w:rPr>
              <w:t>7/30/20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Amended and Restated 2007 Equity Incentive Plan.*</w:t>
              </w:r>
            </w:hyperlink>
          </w:p>
        </w:tc>
        <w:tc>
          <w:tcPr>
            <w:tcW w:w="11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10.11</w:t>
            </w:r>
          </w:p>
        </w:tc>
        <w:tc>
          <w:tcPr>
            <w:tcW w:w="5280" w:type="dxa"/>
            <w:vAlign w:val="bottom"/>
            <w:gridSpan w:val="34"/>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Form of Global Outside Director Nonstatutory Stock Option Award</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9/30/20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1"/>
              </w:rPr>
              <w:t>10/30/20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88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Agreement under the Second Amended and Restated 2007 Equity</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7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Incentive Plan.*</w:t>
              </w:r>
            </w:hyperlink>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10.12</w:t>
            </w:r>
          </w:p>
        </w:tc>
        <w:tc>
          <w:tcPr>
            <w:tcW w:w="5280" w:type="dxa"/>
            <w:vAlign w:val="bottom"/>
            <w:gridSpan w:val="34"/>
          </w:tcPr>
          <w:p>
            <w:pPr>
              <w:spacing w:after="0"/>
              <w:rPr>
                <w:rFonts w:ascii="Arial" w:cs="Arial" w:eastAsia="Arial" w:hAnsi="Arial"/>
                <w:sz w:val="18"/>
                <w:szCs w:val="18"/>
                <w:color w:val="0000FF"/>
                <w:w w:val="97"/>
              </w:rPr>
            </w:pPr>
            <w:hyperlink r:id="rId126">
              <w:r>
                <w:rPr>
                  <w:rFonts w:ascii="Arial" w:cs="Arial" w:eastAsia="Arial" w:hAnsi="Arial"/>
                  <w:sz w:val="18"/>
                  <w:szCs w:val="18"/>
                  <w:color w:val="0000FF"/>
                  <w:w w:val="97"/>
                </w:rPr>
                <w:t>Form of Global Outside Director Restricted Stock Award Agreement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9/30/20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1"/>
              </w:rPr>
              <w:t>10/30/20</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960" w:type="dxa"/>
            <w:vAlign w:val="bottom"/>
            <w:tcBorders>
              <w:top w:val="single" w:sz="8" w:color="0000FF"/>
            </w:tcBorders>
            <w:gridSpan w:val="20"/>
          </w:tcPr>
          <w:p>
            <w:pPr>
              <w:spacing w:after="0" w:line="156" w:lineRule="exact"/>
              <w:rPr>
                <w:rFonts w:ascii="Arial" w:cs="Arial" w:eastAsia="Arial" w:hAnsi="Arial"/>
                <w:sz w:val="18"/>
                <w:szCs w:val="18"/>
                <w:color w:val="0000FF"/>
                <w:w w:val="96"/>
              </w:rPr>
            </w:pPr>
            <w:hyperlink r:id="rId126">
              <w:r>
                <w:rPr>
                  <w:rFonts w:ascii="Arial" w:cs="Arial" w:eastAsia="Arial" w:hAnsi="Arial"/>
                  <w:sz w:val="18"/>
                  <w:szCs w:val="18"/>
                  <w:color w:val="0000FF"/>
                  <w:w w:val="96"/>
                </w:rPr>
                <w:t>under the Second Amended and Restated 2007 Equity Incentive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vMerge w:val="restart"/>
          </w:tcPr>
          <w:p>
            <w:pPr>
              <w:jc w:val="right"/>
              <w:ind w:right="112"/>
              <w:spacing w:after="0"/>
              <w:rPr>
                <w:sz w:val="20"/>
                <w:szCs w:val="20"/>
                <w:color w:val="auto"/>
              </w:rPr>
            </w:pPr>
            <w:r>
              <w:rPr>
                <w:rFonts w:ascii="Arial" w:cs="Arial" w:eastAsia="Arial" w:hAnsi="Arial"/>
                <w:sz w:val="18"/>
                <w:szCs w:val="18"/>
                <w:color w:val="auto"/>
              </w:rPr>
              <w:t>10.13</w:t>
            </w: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Plan.*</w:t>
              </w:r>
            </w:hyperlink>
          </w:p>
        </w:tc>
        <w:tc>
          <w:tcPr>
            <w:tcW w:w="4140" w:type="dxa"/>
            <w:vAlign w:val="bottom"/>
            <w:tcBorders>
              <w:top w:val="single" w:sz="8" w:color="0000FF"/>
            </w:tcBorders>
            <w:gridSpan w:val="14"/>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vMerge w:val="restart"/>
          </w:tcPr>
          <w:p>
            <w:pPr>
              <w:jc w:val="center"/>
              <w:ind w:right="872"/>
              <w:spacing w:after="0"/>
              <w:rPr>
                <w:sz w:val="20"/>
                <w:szCs w:val="20"/>
                <w:color w:val="auto"/>
              </w:rPr>
            </w:pPr>
            <w:r>
              <w:rPr>
                <w:rFonts w:ascii="Arial" w:cs="Arial" w:eastAsia="Arial" w:hAnsi="Arial"/>
                <w:sz w:val="18"/>
                <w:szCs w:val="18"/>
                <w:color w:val="auto"/>
                <w:w w:val="91"/>
              </w:rPr>
              <w:t>2/5/21</w:t>
            </w: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5280" w:type="dxa"/>
            <w:vAlign w:val="bottom"/>
            <w:gridSpan w:val="34"/>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Form of Global Performance-Vested Restricted Stock Unit Award</w:t>
              </w:r>
            </w:hyperlink>
          </w:p>
        </w:tc>
        <w:tc>
          <w:tcPr>
            <w:tcW w:w="8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740" w:type="dxa"/>
            <w:vAlign w:val="bottom"/>
            <w:tcBorders>
              <w:top w:val="single" w:sz="8" w:color="0000FF"/>
            </w:tcBorders>
            <w:gridSpan w:val="16"/>
          </w:tcPr>
          <w:p>
            <w:pPr>
              <w:spacing w:after="0" w:line="182" w:lineRule="exact"/>
              <w:rPr>
                <w:rFonts w:ascii="Arial" w:cs="Arial" w:eastAsia="Arial" w:hAnsi="Arial"/>
                <w:sz w:val="18"/>
                <w:szCs w:val="18"/>
                <w:color w:val="0000FF"/>
                <w:w w:val="89"/>
              </w:rPr>
            </w:pPr>
            <w:hyperlink r:id="rId127">
              <w:r>
                <w:rPr>
                  <w:rFonts w:ascii="Arial" w:cs="Arial" w:eastAsia="Arial" w:hAnsi="Arial"/>
                  <w:sz w:val="18"/>
                  <w:szCs w:val="18"/>
                  <w:color w:val="0000FF"/>
                  <w:w w:val="89"/>
                </w:rPr>
                <w:t>Agreement under the Second Amended and Restated 2007 Equity</w:t>
              </w:r>
            </w:hyperlink>
          </w:p>
        </w:tc>
        <w:tc>
          <w:tcPr>
            <w:tcW w:w="120" w:type="dxa"/>
            <w:vAlign w:val="bottom"/>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7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Incentive Plan.*</w:t>
              </w:r>
            </w:hyperlink>
          </w:p>
        </w:tc>
        <w:tc>
          <w:tcPr>
            <w:tcW w:w="10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right"/>
              <w:ind w:right="112"/>
              <w:spacing w:after="0"/>
              <w:rPr>
                <w:sz w:val="20"/>
                <w:szCs w:val="20"/>
                <w:color w:val="auto"/>
              </w:rPr>
            </w:pPr>
            <w:r>
              <w:rPr>
                <w:rFonts w:ascii="Arial" w:cs="Arial" w:eastAsia="Arial" w:hAnsi="Arial"/>
                <w:sz w:val="18"/>
                <w:szCs w:val="18"/>
                <w:color w:val="auto"/>
              </w:rPr>
              <w:t>10.14</w:t>
            </w:r>
          </w:p>
        </w:tc>
        <w:tc>
          <w:tcPr>
            <w:tcW w:w="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980" w:type="dxa"/>
            <w:vAlign w:val="bottom"/>
            <w:vMerge w:val="restart"/>
          </w:tcPr>
          <w:p>
            <w:pPr>
              <w:jc w:val="center"/>
              <w:ind w:right="872"/>
              <w:spacing w:after="0"/>
              <w:rPr>
                <w:sz w:val="20"/>
                <w:szCs w:val="20"/>
                <w:color w:val="auto"/>
              </w:rPr>
            </w:pPr>
            <w:r>
              <w:rPr>
                <w:rFonts w:ascii="Arial" w:cs="Arial" w:eastAsia="Arial" w:hAnsi="Arial"/>
                <w:sz w:val="18"/>
                <w:szCs w:val="18"/>
                <w:color w:val="auto"/>
                <w:w w:val="91"/>
              </w:rPr>
              <w:t>2/5/21</w:t>
            </w:r>
          </w:p>
        </w:tc>
        <w:tc>
          <w:tcPr>
            <w:tcW w:w="0" w:type="dxa"/>
            <w:vAlign w:val="bottom"/>
          </w:tcPr>
          <w:p>
            <w:pPr>
              <w:spacing w:after="0" w:line="20" w:lineRule="exact"/>
              <w:rPr>
                <w:sz w:val="1"/>
                <w:szCs w:val="1"/>
                <w:color w:val="auto"/>
              </w:rPr>
            </w:pPr>
          </w:p>
        </w:tc>
      </w:tr>
      <w:tr>
        <w:trPr>
          <w:trHeight w:val="237"/>
        </w:trPr>
        <w:tc>
          <w:tcPr>
            <w:tcW w:w="1120" w:type="dxa"/>
            <w:vAlign w:val="bottom"/>
            <w:vMerge w:val="continue"/>
          </w:tcPr>
          <w:p>
            <w:pPr>
              <w:spacing w:after="0"/>
              <w:rPr>
                <w:sz w:val="20"/>
                <w:szCs w:val="20"/>
                <w:color w:val="auto"/>
              </w:rPr>
            </w:pPr>
          </w:p>
        </w:tc>
        <w:tc>
          <w:tcPr>
            <w:tcW w:w="5280" w:type="dxa"/>
            <w:vAlign w:val="bottom"/>
            <w:gridSpan w:val="34"/>
          </w:tcPr>
          <w:p>
            <w:pPr>
              <w:spacing w:after="0"/>
              <w:rPr>
                <w:rFonts w:ascii="Arial" w:cs="Arial" w:eastAsia="Arial" w:hAnsi="Arial"/>
                <w:sz w:val="18"/>
                <w:szCs w:val="18"/>
                <w:color w:val="0000FF"/>
                <w:w w:val="95"/>
              </w:rPr>
            </w:pPr>
            <w:hyperlink r:id="rId128">
              <w:r>
                <w:rPr>
                  <w:rFonts w:ascii="Arial" w:cs="Arial" w:eastAsia="Arial" w:hAnsi="Arial"/>
                  <w:sz w:val="18"/>
                  <w:szCs w:val="18"/>
                  <w:color w:val="0000FF"/>
                  <w:w w:val="95"/>
                </w:rPr>
                <w:t>Form of Global Time-Vested Restricted Stock Unit Award Agreement</w:t>
              </w:r>
            </w:hyperlink>
          </w:p>
        </w:tc>
        <w:tc>
          <w:tcPr>
            <w:tcW w:w="8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040" w:type="dxa"/>
            <w:vAlign w:val="bottom"/>
            <w:tcBorders>
              <w:top w:val="single" w:sz="8" w:color="0000FF"/>
            </w:tcBorders>
            <w:gridSpan w:val="23"/>
          </w:tcPr>
          <w:p>
            <w:pPr>
              <w:spacing w:after="0" w:line="182" w:lineRule="exact"/>
              <w:rPr>
                <w:rFonts w:ascii="Arial" w:cs="Arial" w:eastAsia="Arial" w:hAnsi="Arial"/>
                <w:sz w:val="18"/>
                <w:szCs w:val="18"/>
                <w:color w:val="0000FF"/>
                <w:w w:val="97"/>
              </w:rPr>
            </w:pPr>
            <w:hyperlink r:id="rId128">
              <w:r>
                <w:rPr>
                  <w:rFonts w:ascii="Arial" w:cs="Arial" w:eastAsia="Arial" w:hAnsi="Arial"/>
                  <w:sz w:val="18"/>
                  <w:szCs w:val="18"/>
                  <w:color w:val="0000FF"/>
                  <w:w w:val="97"/>
                </w:rPr>
                <w:t>under the Second Amended and Restated 2007 Equity Incentive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Plan.*</w:t>
              </w:r>
            </w:hyperlink>
          </w:p>
        </w:tc>
        <w:tc>
          <w:tcPr>
            <w:tcW w:w="4140" w:type="dxa"/>
            <w:vAlign w:val="bottom"/>
            <w:tcBorders>
              <w:top w:val="single" w:sz="8" w:color="0000FF"/>
            </w:tcBorders>
            <w:gridSpan w:val="14"/>
          </w:tcPr>
          <w:p>
            <w:pPr>
              <w:spacing w:after="0"/>
              <w:rPr>
                <w:sz w:val="15"/>
                <w:szCs w:val="15"/>
                <w:color w:val="auto"/>
              </w:rPr>
            </w:pPr>
          </w:p>
        </w:tc>
        <w:tc>
          <w:tcPr>
            <w:tcW w:w="260" w:type="dxa"/>
            <w:vAlign w:val="bottom"/>
            <w:gridSpan w:val="3"/>
          </w:tcPr>
          <w:p>
            <w:pPr>
              <w:spacing w:after="0"/>
              <w:rPr>
                <w:sz w:val="15"/>
                <w:szCs w:val="15"/>
                <w:color w:val="auto"/>
              </w:rPr>
            </w:pPr>
          </w:p>
        </w:tc>
        <w:tc>
          <w:tcPr>
            <w:tcW w:w="16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10.15</w:t>
            </w:r>
          </w:p>
        </w:tc>
        <w:tc>
          <w:tcPr>
            <w:tcW w:w="3860" w:type="dxa"/>
            <w:vAlign w:val="bottom"/>
            <w:tcBorders>
              <w:bottom w:val="single" w:sz="8" w:color="0000FF"/>
            </w:tcBorders>
            <w:gridSpan w:val="12"/>
          </w:tcPr>
          <w:p>
            <w:pPr>
              <w:spacing w:after="0"/>
              <w:rPr>
                <w:rFonts w:ascii="Arial" w:cs="Arial" w:eastAsia="Arial" w:hAnsi="Arial"/>
                <w:sz w:val="18"/>
                <w:szCs w:val="18"/>
                <w:color w:val="0000FF"/>
                <w:w w:val="92"/>
              </w:rPr>
            </w:pPr>
            <w:hyperlink r:id="rId129">
              <w:r>
                <w:rPr>
                  <w:rFonts w:ascii="Arial" w:cs="Arial" w:eastAsia="Arial" w:hAnsi="Arial"/>
                  <w:sz w:val="18"/>
                  <w:szCs w:val="18"/>
                  <w:color w:val="0000FF"/>
                  <w:w w:val="92"/>
                </w:rPr>
                <w:t>Amkor Technology, Inc. 2021 Equity Incentive Plan*</w:t>
              </w:r>
            </w:hyperlink>
          </w:p>
        </w:tc>
        <w:tc>
          <w:tcPr>
            <w:tcW w:w="1420" w:type="dxa"/>
            <w:vAlign w:val="bottom"/>
            <w:gridSpan w:val="22"/>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5/20/21</w:t>
            </w:r>
          </w:p>
        </w:tc>
        <w:tc>
          <w:tcPr>
            <w:tcW w:w="0" w:type="dxa"/>
            <w:vAlign w:val="bottom"/>
          </w:tcPr>
          <w:p>
            <w:pPr>
              <w:spacing w:after="0"/>
              <w:rPr>
                <w:sz w:val="1"/>
                <w:szCs w:val="1"/>
                <w:color w:val="auto"/>
              </w:rPr>
            </w:pPr>
          </w:p>
        </w:tc>
      </w:tr>
      <w:tr>
        <w:trPr>
          <w:trHeight w:val="223"/>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10.16</w:t>
            </w:r>
          </w:p>
        </w:tc>
        <w:tc>
          <w:tcPr>
            <w:tcW w:w="5280" w:type="dxa"/>
            <w:vAlign w:val="bottom"/>
            <w:gridSpan w:val="34"/>
          </w:tcPr>
          <w:p>
            <w:pPr>
              <w:spacing w:after="0"/>
              <w:rPr>
                <w:rFonts w:ascii="Arial" w:cs="Arial" w:eastAsia="Arial" w:hAnsi="Arial"/>
                <w:sz w:val="18"/>
                <w:szCs w:val="18"/>
                <w:color w:val="0000FF"/>
                <w:w w:val="99"/>
              </w:rPr>
            </w:pPr>
            <w:hyperlink r:id="rId130">
              <w:r>
                <w:rPr>
                  <w:rFonts w:ascii="Arial" w:cs="Arial" w:eastAsia="Arial" w:hAnsi="Arial"/>
                  <w:sz w:val="18"/>
                  <w:szCs w:val="18"/>
                  <w:color w:val="0000FF"/>
                  <w:w w:val="99"/>
                </w:rPr>
                <w:t>Form of Global Non-Employee Director Nonstatutory Stock Option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5/20/21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Award Agreement*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10.17</w:t>
            </w:r>
          </w:p>
        </w:tc>
        <w:tc>
          <w:tcPr>
            <w:tcW w:w="5280" w:type="dxa"/>
            <w:vAlign w:val="bottom"/>
            <w:gridSpan w:val="34"/>
          </w:tcPr>
          <w:p>
            <w:pPr>
              <w:spacing w:after="0"/>
              <w:rPr>
                <w:rFonts w:ascii="Arial" w:cs="Arial" w:eastAsia="Arial" w:hAnsi="Arial"/>
                <w:sz w:val="18"/>
                <w:szCs w:val="18"/>
                <w:color w:val="0000FF"/>
              </w:rPr>
            </w:pPr>
            <w:hyperlink r:id="rId131">
              <w:r>
                <w:rPr>
                  <w:rFonts w:ascii="Arial" w:cs="Arial" w:eastAsia="Arial" w:hAnsi="Arial"/>
                  <w:sz w:val="18"/>
                  <w:szCs w:val="18"/>
                  <w:color w:val="0000FF"/>
                </w:rPr>
                <w:t>Form of Global Non-Employee Director Restricted Stock Award</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5/20/21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Agreement*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10.18</w:t>
            </w:r>
          </w:p>
        </w:tc>
        <w:tc>
          <w:tcPr>
            <w:tcW w:w="3580" w:type="dxa"/>
            <w:vAlign w:val="bottom"/>
            <w:tcBorders>
              <w:bottom w:val="single" w:sz="8" w:color="0000FF"/>
            </w:tcBorders>
            <w:gridSpan w:val="8"/>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Form of Global Stock Option Award Agreement*</w:t>
              </w:r>
            </w:hyperlink>
          </w:p>
        </w:tc>
        <w:tc>
          <w:tcPr>
            <w:tcW w:w="1700" w:type="dxa"/>
            <w:vAlign w:val="bottom"/>
            <w:gridSpan w:val="26"/>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5/20/21</w:t>
            </w: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10.19</w:t>
            </w:r>
          </w:p>
        </w:tc>
        <w:tc>
          <w:tcPr>
            <w:tcW w:w="5280" w:type="dxa"/>
            <w:vAlign w:val="bottom"/>
            <w:gridSpan w:val="34"/>
          </w:tcPr>
          <w:p>
            <w:pPr>
              <w:spacing w:after="0"/>
              <w:rPr>
                <w:rFonts w:ascii="Arial" w:cs="Arial" w:eastAsia="Arial" w:hAnsi="Arial"/>
                <w:sz w:val="18"/>
                <w:szCs w:val="18"/>
                <w:color w:val="0000FF"/>
              </w:rPr>
            </w:pPr>
            <w:hyperlink r:id="rId133">
              <w:r>
                <w:rPr>
                  <w:rFonts w:ascii="Arial" w:cs="Arial" w:eastAsia="Arial" w:hAnsi="Arial"/>
                  <w:sz w:val="18"/>
                  <w:szCs w:val="18"/>
                  <w:color w:val="0000FF"/>
                </w:rPr>
                <w:t>Form of Global Restricted Stock Award Agreement*</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5/20/21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10.20</w:t>
            </w:r>
          </w:p>
        </w:tc>
        <w:tc>
          <w:tcPr>
            <w:tcW w:w="5280" w:type="dxa"/>
            <w:vAlign w:val="bottom"/>
            <w:gridSpan w:val="34"/>
          </w:tcPr>
          <w:p>
            <w:pPr>
              <w:spacing w:after="0"/>
              <w:rPr>
                <w:rFonts w:ascii="Arial" w:cs="Arial" w:eastAsia="Arial" w:hAnsi="Arial"/>
                <w:sz w:val="18"/>
                <w:szCs w:val="18"/>
                <w:color w:val="0000FF"/>
              </w:rPr>
            </w:pPr>
            <w:hyperlink r:id="rId134">
              <w:r>
                <w:rPr>
                  <w:rFonts w:ascii="Arial" w:cs="Arial" w:eastAsia="Arial" w:hAnsi="Arial"/>
                  <w:sz w:val="18"/>
                  <w:szCs w:val="18"/>
                  <w:color w:val="0000FF"/>
                </w:rPr>
                <w:t>Form of Global Performance-Vested Restricted Stock Unit Award</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5/20/21</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Agreement*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10.21</w:t>
            </w:r>
          </w:p>
        </w:tc>
        <w:tc>
          <w:tcPr>
            <w:tcW w:w="5280" w:type="dxa"/>
            <w:vAlign w:val="bottom"/>
            <w:tcBorders>
              <w:bottom w:val="single" w:sz="8" w:color="0000FF"/>
            </w:tcBorders>
            <w:gridSpan w:val="34"/>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Form  of  Global  Time-Vested  Restricted  Stock  Unit  Award</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5/20/21</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80" w:type="dxa"/>
            <w:vAlign w:val="bottom"/>
            <w:gridSpan w:val="34"/>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Agreement*</w:t>
              </w:r>
            </w:hyperlink>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10.22</w:t>
            </w:r>
          </w:p>
        </w:tc>
        <w:tc>
          <w:tcPr>
            <w:tcW w:w="5280" w:type="dxa"/>
            <w:vAlign w:val="bottom"/>
            <w:gridSpan w:val="34"/>
          </w:tcPr>
          <w:p>
            <w:pPr>
              <w:spacing w:after="0"/>
              <w:rPr>
                <w:rFonts w:ascii="Arial" w:cs="Arial" w:eastAsia="Arial" w:hAnsi="Arial"/>
                <w:sz w:val="18"/>
                <w:szCs w:val="18"/>
                <w:color w:val="0000FF"/>
              </w:rPr>
            </w:pPr>
            <w:hyperlink r:id="rId136">
              <w:r>
                <w:rPr>
                  <w:rFonts w:ascii="Arial" w:cs="Arial" w:eastAsia="Arial" w:hAnsi="Arial"/>
                  <w:sz w:val="18"/>
                  <w:szCs w:val="18"/>
                  <w:color w:val="0000FF"/>
                </w:rPr>
                <w:t>Amended and Restated Executive Incentive Bonus Plan*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980" w:type="dxa"/>
            <w:vAlign w:val="bottom"/>
          </w:tcPr>
          <w:p>
            <w:pPr>
              <w:jc w:val="center"/>
              <w:ind w:right="872"/>
              <w:spacing w:after="0"/>
              <w:rPr>
                <w:sz w:val="20"/>
                <w:szCs w:val="20"/>
                <w:color w:val="auto"/>
              </w:rPr>
            </w:pPr>
            <w:r>
              <w:rPr>
                <w:rFonts w:ascii="Arial" w:cs="Arial" w:eastAsia="Arial" w:hAnsi="Arial"/>
                <w:sz w:val="18"/>
                <w:szCs w:val="18"/>
                <w:color w:val="auto"/>
                <w:w w:val="91"/>
              </w:rPr>
              <w:t>5/5/17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10.23</w:t>
            </w:r>
          </w:p>
        </w:tc>
        <w:tc>
          <w:tcPr>
            <w:tcW w:w="5280" w:type="dxa"/>
            <w:vAlign w:val="bottom"/>
            <w:gridSpan w:val="34"/>
          </w:tcPr>
          <w:p>
            <w:pPr>
              <w:spacing w:after="0"/>
              <w:rPr>
                <w:rFonts w:ascii="Arial" w:cs="Arial" w:eastAsia="Arial" w:hAnsi="Arial"/>
                <w:sz w:val="18"/>
                <w:szCs w:val="18"/>
                <w:color w:val="0000FF"/>
                <w:w w:val="95"/>
              </w:rPr>
            </w:pPr>
            <w:hyperlink r:id="rId137">
              <w:r>
                <w:rPr>
                  <w:rFonts w:ascii="Arial" w:cs="Arial" w:eastAsia="Arial" w:hAnsi="Arial"/>
                  <w:sz w:val="18"/>
                  <w:szCs w:val="18"/>
                  <w:color w:val="0000FF"/>
                  <w:w w:val="95"/>
                </w:rPr>
                <w:t>Employment Letter Agreement, dated June 24, 2020, between Amkor</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6/30/20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1"/>
              </w:rPr>
              <w:t>10/30/20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0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Technology, Inc. and Guillaume Marie Jean Rutten.*</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10.24</w:t>
            </w:r>
          </w:p>
        </w:tc>
        <w:tc>
          <w:tcPr>
            <w:tcW w:w="5280" w:type="dxa"/>
            <w:vAlign w:val="bottom"/>
            <w:gridSpan w:val="34"/>
          </w:tcPr>
          <w:p>
            <w:pPr>
              <w:spacing w:after="0"/>
              <w:rPr>
                <w:rFonts w:ascii="Arial" w:cs="Arial" w:eastAsia="Arial" w:hAnsi="Arial"/>
                <w:sz w:val="18"/>
                <w:szCs w:val="18"/>
                <w:color w:val="0000FF"/>
                <w:w w:val="96"/>
              </w:rPr>
            </w:pPr>
            <w:hyperlink r:id="rId138">
              <w:r>
                <w:rPr>
                  <w:rFonts w:ascii="Arial" w:cs="Arial" w:eastAsia="Arial" w:hAnsi="Arial"/>
                  <w:sz w:val="18"/>
                  <w:szCs w:val="18"/>
                  <w:color w:val="0000FF"/>
                  <w:w w:val="96"/>
                </w:rPr>
                <w:t>Separation Agreement and Release, effective July 4, 2020, between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6/30/20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1"/>
              </w:rPr>
              <w:t>10/30/20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Amkor Technology, Inc. and Stephen D. Kelley.*</w:t>
              </w:r>
            </w:hyperlink>
          </w:p>
        </w:tc>
        <w:tc>
          <w:tcPr>
            <w:tcW w:w="1300" w:type="dxa"/>
            <w:vAlign w:val="bottom"/>
            <w:tcBorders>
              <w:top w:val="single" w:sz="8" w:color="0000FF"/>
            </w:tcBorders>
            <w:gridSpan w:val="11"/>
          </w:tcPr>
          <w:p>
            <w:pPr>
              <w:spacing w:after="0"/>
              <w:rPr>
                <w:sz w:val="13"/>
                <w:szCs w:val="13"/>
                <w:color w:val="auto"/>
              </w:rPr>
            </w:pPr>
          </w:p>
        </w:tc>
        <w:tc>
          <w:tcPr>
            <w:tcW w:w="2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10.25</w:t>
            </w:r>
          </w:p>
        </w:tc>
        <w:tc>
          <w:tcPr>
            <w:tcW w:w="5280" w:type="dxa"/>
            <w:vAlign w:val="bottom"/>
            <w:gridSpan w:val="34"/>
          </w:tcPr>
          <w:p>
            <w:pPr>
              <w:spacing w:after="0"/>
              <w:rPr>
                <w:rFonts w:ascii="Arial" w:cs="Arial" w:eastAsia="Arial" w:hAnsi="Arial"/>
                <w:sz w:val="18"/>
                <w:szCs w:val="18"/>
                <w:color w:val="0000FF"/>
                <w:w w:val="95"/>
              </w:rPr>
            </w:pPr>
            <w:hyperlink r:id="rId139">
              <w:r>
                <w:rPr>
                  <w:rFonts w:ascii="Arial" w:cs="Arial" w:eastAsia="Arial" w:hAnsi="Arial"/>
                  <w:sz w:val="18"/>
                  <w:szCs w:val="18"/>
                  <w:color w:val="0000FF"/>
                  <w:w w:val="95"/>
                </w:rPr>
                <w:t>Separation  and  Release  Agreement,  dated  September  27,  2021,</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9/30/21</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1"/>
              </w:rPr>
              <w:t>10/29/21</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between Amkor Technology, Inc. and John C. Stone*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10.26</w:t>
            </w:r>
          </w:p>
        </w:tc>
        <w:tc>
          <w:tcPr>
            <w:tcW w:w="5280" w:type="dxa"/>
            <w:vAlign w:val="bottom"/>
            <w:gridSpan w:val="34"/>
          </w:tcPr>
          <w:p>
            <w:pPr>
              <w:spacing w:after="0"/>
              <w:rPr>
                <w:rFonts w:ascii="Arial" w:cs="Arial" w:eastAsia="Arial" w:hAnsi="Arial"/>
                <w:sz w:val="18"/>
                <w:szCs w:val="18"/>
                <w:color w:val="0000FF"/>
              </w:rPr>
            </w:pPr>
            <w:hyperlink r:id="rId140">
              <w:r>
                <w:rPr>
                  <w:rFonts w:ascii="Arial" w:cs="Arial" w:eastAsia="Arial" w:hAnsi="Arial"/>
                  <w:sz w:val="18"/>
                  <w:szCs w:val="18"/>
                  <w:color w:val="0000FF"/>
                </w:rPr>
                <w:t>Syndicated  Loan  Agreement  among  J-Devices  Corporation,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7/19/18</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Sumitomo  Mitsui  Banking  Corporation  and  other  financial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260" w:type="dxa"/>
            <w:vAlign w:val="bottom"/>
            <w:tcBorders>
              <w:bottom w:val="single" w:sz="8" w:color="0000FF"/>
            </w:tcBorders>
            <w:gridSpan w:val="14"/>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institutions, dated as of July 13, 2018 (English translation).</w:t>
              </w:r>
            </w:hyperlink>
          </w:p>
        </w:tc>
        <w:tc>
          <w:tcPr>
            <w:tcW w:w="100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10.27</w:t>
            </w:r>
          </w:p>
        </w:tc>
        <w:tc>
          <w:tcPr>
            <w:tcW w:w="5280" w:type="dxa"/>
            <w:vAlign w:val="bottom"/>
            <w:gridSpan w:val="34"/>
          </w:tcPr>
          <w:p>
            <w:pPr>
              <w:spacing w:after="0"/>
              <w:rPr>
                <w:rFonts w:ascii="Arial" w:cs="Arial" w:eastAsia="Arial" w:hAnsi="Arial"/>
                <w:sz w:val="18"/>
                <w:szCs w:val="18"/>
                <w:color w:val="0000FF"/>
              </w:rPr>
            </w:pPr>
            <w:hyperlink r:id="rId141">
              <w:r>
                <w:rPr>
                  <w:rFonts w:ascii="Arial" w:cs="Arial" w:eastAsia="Arial" w:hAnsi="Arial"/>
                  <w:sz w:val="18"/>
                  <w:szCs w:val="18"/>
                  <w:color w:val="0000FF"/>
                </w:rPr>
                <w:t>Guaranty by Amkor Technology, Inc. in favor of Sumitomo Mitsui</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7/19/18</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40" w:type="dxa"/>
            <w:vAlign w:val="bottom"/>
            <w:tcBorders>
              <w:top w:val="single" w:sz="8" w:color="0000FF"/>
            </w:tcBorders>
            <w:gridSpan w:val="32"/>
          </w:tcPr>
          <w:p>
            <w:pPr>
              <w:spacing w:after="0" w:line="156" w:lineRule="exact"/>
              <w:rPr>
                <w:rFonts w:ascii="Arial" w:cs="Arial" w:eastAsia="Arial" w:hAnsi="Arial"/>
                <w:sz w:val="18"/>
                <w:szCs w:val="18"/>
                <w:color w:val="0000FF"/>
                <w:w w:val="96"/>
              </w:rPr>
            </w:pPr>
            <w:hyperlink r:id="rId141">
              <w:r>
                <w:rPr>
                  <w:rFonts w:ascii="Arial" w:cs="Arial" w:eastAsia="Arial" w:hAnsi="Arial"/>
                  <w:sz w:val="18"/>
                  <w:szCs w:val="18"/>
                  <w:color w:val="0000FF"/>
                  <w:w w:val="96"/>
                </w:rPr>
                <w:t>Banking Corporation and other financial institutions, dated as of July</w:t>
              </w:r>
            </w:hyperlink>
          </w:p>
        </w:tc>
        <w:tc>
          <w:tcPr>
            <w:tcW w:w="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13, 2018 (English translation).</w:t>
              </w:r>
            </w:hyperlink>
          </w:p>
        </w:tc>
        <w:tc>
          <w:tcPr>
            <w:tcW w:w="29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10.28</w:t>
            </w:r>
          </w:p>
        </w:tc>
        <w:tc>
          <w:tcPr>
            <w:tcW w:w="5280" w:type="dxa"/>
            <w:vAlign w:val="bottom"/>
            <w:gridSpan w:val="34"/>
          </w:tcPr>
          <w:p>
            <w:pPr>
              <w:spacing w:after="0"/>
              <w:rPr>
                <w:rFonts w:ascii="Arial" w:cs="Arial" w:eastAsia="Arial" w:hAnsi="Arial"/>
                <w:sz w:val="18"/>
                <w:szCs w:val="18"/>
                <w:color w:val="0000FF"/>
              </w:rPr>
            </w:pPr>
            <w:hyperlink r:id="rId142">
              <w:r>
                <w:rPr>
                  <w:rFonts w:ascii="Arial" w:cs="Arial" w:eastAsia="Arial" w:hAnsi="Arial"/>
                  <w:sz w:val="18"/>
                  <w:szCs w:val="18"/>
                  <w:color w:val="0000FF"/>
                </w:rPr>
                <w:t>Loan and Security Agreement, dated as of July 13, 2018, by and</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7/19/18</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among Amkor Technology Singapore Holding Pte, Ltd., Bank of</w:t>
              </w:r>
            </w:hyperlink>
          </w:p>
        </w:tc>
        <w:tc>
          <w:tcPr>
            <w:tcW w:w="60" w:type="dxa"/>
            <w:vAlign w:val="bottom"/>
            <w:tcBorders>
              <w:bottom w:val="single" w:sz="8" w:color="0000FF"/>
            </w:tcBorders>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80" w:type="dxa"/>
            <w:vAlign w:val="bottom"/>
            <w:gridSpan w:val="29"/>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America, N.A. and other financial institutions.</w:t>
              </w:r>
            </w:hyperlink>
          </w:p>
        </w:tc>
        <w:tc>
          <w:tcPr>
            <w:tcW w:w="10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980" w:type="dxa"/>
            <w:vAlign w:val="bottom"/>
          </w:tcPr>
          <w:p>
            <w:pPr>
              <w:jc w:val="center"/>
              <w:ind w:left="992"/>
              <w:spacing w:after="0"/>
              <w:rPr>
                <w:sz w:val="20"/>
                <w:szCs w:val="20"/>
                <w:color w:val="auto"/>
              </w:rPr>
            </w:pPr>
            <w:r>
              <w:rPr>
                <w:rFonts w:ascii="Arial" w:cs="Arial" w:eastAsia="Arial" w:hAnsi="Arial"/>
                <w:sz w:val="14"/>
                <w:szCs w:val="14"/>
                <w:b w:val="1"/>
                <w:bCs w:val="1"/>
                <w:color w:val="auto"/>
                <w:w w:val="93"/>
              </w:rPr>
              <w:t>Included</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vMerge w:val="continue"/>
          </w:tcPr>
          <w:p>
            <w:pPr>
              <w:spacing w:after="0"/>
              <w:rPr>
                <w:sz w:val="16"/>
                <w:szCs w:val="16"/>
                <w:color w:val="auto"/>
              </w:rPr>
            </w:pPr>
          </w:p>
        </w:tc>
        <w:tc>
          <w:tcPr>
            <w:tcW w:w="1980" w:type="dxa"/>
            <w:vAlign w:val="bottom"/>
            <w:tcBorders>
              <w:bottom w:val="single" w:sz="8" w:color="auto"/>
            </w:tcBorders>
          </w:tcPr>
          <w:p>
            <w:pPr>
              <w:jc w:val="center"/>
              <w:ind w:left="992"/>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18"/>
        </w:trPr>
        <w:tc>
          <w:tcPr>
            <w:tcW w:w="1120" w:type="dxa"/>
            <w:vAlign w:val="bottom"/>
          </w:tcPr>
          <w:p>
            <w:pPr>
              <w:jc w:val="right"/>
              <w:ind w:right="312"/>
              <w:spacing w:after="0" w:line="118" w:lineRule="exact"/>
              <w:rPr>
                <w:sz w:val="20"/>
                <w:szCs w:val="20"/>
                <w:color w:val="auto"/>
              </w:rPr>
            </w:pPr>
            <w:r>
              <w:rPr>
                <w:rFonts w:ascii="Arial" w:cs="Arial" w:eastAsia="Arial" w:hAnsi="Arial"/>
                <w:sz w:val="13"/>
                <w:szCs w:val="13"/>
                <w:b w:val="1"/>
                <w:bCs w:val="1"/>
                <w:color w:val="auto"/>
              </w:rPr>
              <w:t>Exhibit</w:t>
            </w:r>
          </w:p>
        </w:tc>
        <w:tc>
          <w:tcPr>
            <w:tcW w:w="1120" w:type="dxa"/>
            <w:vAlign w:val="bottom"/>
          </w:tcPr>
          <w:p>
            <w:pPr>
              <w:spacing w:after="0"/>
              <w:rPr>
                <w:sz w:val="10"/>
                <w:szCs w:val="10"/>
                <w:color w:val="auto"/>
              </w:rPr>
            </w:pPr>
          </w:p>
        </w:tc>
        <w:tc>
          <w:tcPr>
            <w:tcW w:w="4260" w:type="dxa"/>
            <w:vAlign w:val="bottom"/>
            <w:gridSpan w:val="27"/>
            <w:vMerge w:val="restart"/>
          </w:tcPr>
          <w:p>
            <w:pPr>
              <w:ind w:left="820"/>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 Ending</w:t>
            </w:r>
          </w:p>
        </w:tc>
        <w:tc>
          <w:tcPr>
            <w:tcW w:w="8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8"/>
              </w:rPr>
              <w:t>Exhibit</w:t>
            </w:r>
          </w:p>
        </w:tc>
        <w:tc>
          <w:tcPr>
            <w:tcW w:w="1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Number</w:t>
            </w:r>
          </w:p>
        </w:tc>
        <w:tc>
          <w:tcPr>
            <w:tcW w:w="11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27"/>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right"/>
              <w:ind w:right="112"/>
              <w:spacing w:after="0" w:line="184" w:lineRule="exact"/>
              <w:rPr>
                <w:sz w:val="20"/>
                <w:szCs w:val="20"/>
                <w:color w:val="auto"/>
              </w:rPr>
            </w:pPr>
            <w:r>
              <w:rPr>
                <w:rFonts w:ascii="Arial" w:cs="Arial" w:eastAsia="Arial" w:hAnsi="Arial"/>
                <w:sz w:val="18"/>
                <w:szCs w:val="18"/>
                <w:color w:val="auto"/>
              </w:rPr>
              <w:t>10.29</w:t>
            </w:r>
          </w:p>
        </w:tc>
        <w:tc>
          <w:tcPr>
            <w:tcW w:w="5380" w:type="dxa"/>
            <w:vAlign w:val="bottom"/>
            <w:gridSpan w:val="28"/>
          </w:tcPr>
          <w:p>
            <w:pPr>
              <w:spacing w:after="0" w:line="184" w:lineRule="exact"/>
              <w:rPr>
                <w:rFonts w:ascii="Arial" w:cs="Arial" w:eastAsia="Arial" w:hAnsi="Arial"/>
                <w:sz w:val="18"/>
                <w:szCs w:val="18"/>
                <w:color w:val="0000FF"/>
              </w:rPr>
            </w:pPr>
            <w:hyperlink r:id="rId144">
              <w:r>
                <w:rPr>
                  <w:rFonts w:ascii="Arial" w:cs="Arial" w:eastAsia="Arial" w:hAnsi="Arial"/>
                  <w:sz w:val="18"/>
                  <w:szCs w:val="18"/>
                  <w:color w:val="0000FF"/>
                </w:rPr>
                <w:t>Amendment to Loan and Security Agreement, dated as of July 8,</w:t>
              </w:r>
            </w:hyperlink>
          </w:p>
        </w:tc>
        <w:tc>
          <w:tcPr>
            <w:tcW w:w="720" w:type="dxa"/>
            <w:vAlign w:val="bottom"/>
          </w:tcPr>
          <w:p>
            <w:pPr>
              <w:jc w:val="center"/>
              <w:ind w:right="13"/>
              <w:spacing w:after="0" w:line="184" w:lineRule="exact"/>
              <w:rPr>
                <w:sz w:val="20"/>
                <w:szCs w:val="20"/>
                <w:color w:val="auto"/>
              </w:rPr>
            </w:pPr>
            <w:r>
              <w:rPr>
                <w:rFonts w:ascii="Arial" w:cs="Arial" w:eastAsia="Arial" w:hAnsi="Arial"/>
                <w:sz w:val="18"/>
                <w:szCs w:val="18"/>
                <w:color w:val="auto"/>
                <w:w w:val="94"/>
              </w:rPr>
              <w:t>10-Q</w:t>
            </w:r>
          </w:p>
        </w:tc>
        <w:tc>
          <w:tcPr>
            <w:tcW w:w="1240" w:type="dxa"/>
            <w:vAlign w:val="bottom"/>
          </w:tcPr>
          <w:p>
            <w:pPr>
              <w:jc w:val="right"/>
              <w:ind w:right="242"/>
              <w:spacing w:after="0" w:line="184" w:lineRule="exact"/>
              <w:rPr>
                <w:sz w:val="20"/>
                <w:szCs w:val="20"/>
                <w:color w:val="auto"/>
              </w:rPr>
            </w:pPr>
            <w:r>
              <w:rPr>
                <w:rFonts w:ascii="Arial" w:cs="Arial" w:eastAsia="Arial" w:hAnsi="Arial"/>
                <w:sz w:val="18"/>
                <w:szCs w:val="18"/>
                <w:color w:val="auto"/>
              </w:rPr>
              <w:t>6/30/19</w:t>
            </w:r>
          </w:p>
        </w:tc>
        <w:tc>
          <w:tcPr>
            <w:tcW w:w="800" w:type="dxa"/>
            <w:vAlign w:val="bottom"/>
          </w:tcPr>
          <w:p>
            <w:pPr>
              <w:jc w:val="center"/>
              <w:spacing w:after="0" w:line="184" w:lineRule="exact"/>
              <w:rPr>
                <w:sz w:val="20"/>
                <w:szCs w:val="20"/>
                <w:color w:val="auto"/>
              </w:rPr>
            </w:pPr>
            <w:r>
              <w:rPr>
                <w:rFonts w:ascii="Arial" w:cs="Arial" w:eastAsia="Arial" w:hAnsi="Arial"/>
                <w:sz w:val="18"/>
                <w:szCs w:val="18"/>
                <w:color w:val="auto"/>
                <w:w w:val="91"/>
              </w:rPr>
              <w:t>10.2</w:t>
            </w:r>
          </w:p>
        </w:tc>
        <w:tc>
          <w:tcPr>
            <w:tcW w:w="1980" w:type="dxa"/>
            <w:vAlign w:val="bottom"/>
          </w:tcPr>
          <w:p>
            <w:pPr>
              <w:jc w:val="center"/>
              <w:ind w:right="872"/>
              <w:spacing w:after="0" w:line="184" w:lineRule="exact"/>
              <w:rPr>
                <w:sz w:val="20"/>
                <w:szCs w:val="20"/>
                <w:color w:val="auto"/>
              </w:rPr>
            </w:pPr>
            <w:r>
              <w:rPr>
                <w:rFonts w:ascii="Arial" w:cs="Arial" w:eastAsia="Arial" w:hAnsi="Arial"/>
                <w:sz w:val="18"/>
                <w:szCs w:val="18"/>
                <w:color w:val="auto"/>
                <w:w w:val="91"/>
              </w:rPr>
              <w:t>8/1/19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2019, by and amount Amkor Technology Singapore Holding Pte, Ltd.,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60" w:type="dxa"/>
            <w:vAlign w:val="bottom"/>
            <w:gridSpan w:val="27"/>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Bank of America, N.A. and other financial institutions.</w:t>
              </w:r>
            </w:hyperlink>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10.30</w:t>
            </w:r>
          </w:p>
        </w:tc>
        <w:tc>
          <w:tcPr>
            <w:tcW w:w="5380" w:type="dxa"/>
            <w:vAlign w:val="bottom"/>
            <w:gridSpan w:val="28"/>
          </w:tcPr>
          <w:p>
            <w:pPr>
              <w:spacing w:after="0"/>
              <w:rPr>
                <w:rFonts w:ascii="Arial" w:cs="Arial" w:eastAsia="Arial" w:hAnsi="Arial"/>
                <w:sz w:val="18"/>
                <w:szCs w:val="18"/>
                <w:color w:val="0000FF"/>
                <w:w w:val="97"/>
              </w:rPr>
            </w:pPr>
            <w:hyperlink r:id="rId145">
              <w:r>
                <w:rPr>
                  <w:rFonts w:ascii="Arial" w:cs="Arial" w:eastAsia="Arial" w:hAnsi="Arial"/>
                  <w:sz w:val="18"/>
                  <w:szCs w:val="18"/>
                  <w:color w:val="0000FF"/>
                  <w:w w:val="97"/>
                </w:rPr>
                <w:t>Guaranty and Security Agreement, dated as of July 13, 2018, by and</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3"/>
              </w:rPr>
              <w:t>7/19/18</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among Amkor Technology, Inc., and Bank of America, N.A.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10.31</w:t>
            </w:r>
          </w:p>
        </w:tc>
        <w:tc>
          <w:tcPr>
            <w:tcW w:w="5380" w:type="dxa"/>
            <w:vAlign w:val="bottom"/>
            <w:gridSpan w:val="28"/>
          </w:tcPr>
          <w:p>
            <w:pPr>
              <w:spacing w:after="0"/>
              <w:rPr>
                <w:rFonts w:ascii="Arial" w:cs="Arial" w:eastAsia="Arial" w:hAnsi="Arial"/>
                <w:sz w:val="18"/>
                <w:szCs w:val="18"/>
                <w:color w:val="0000FF"/>
              </w:rPr>
            </w:pPr>
            <w:hyperlink r:id="rId146">
              <w:r>
                <w:rPr>
                  <w:rFonts w:ascii="Arial" w:cs="Arial" w:eastAsia="Arial" w:hAnsi="Arial"/>
                  <w:sz w:val="18"/>
                  <w:szCs w:val="18"/>
                  <w:color w:val="0000FF"/>
                </w:rPr>
                <w:t>Syndicated  Loan  Agreement  among  J-Devices  Corporation,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1"/>
              </w:rPr>
              <w:t>12/26/19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Sumitomo  Mitsui  Banking  Corporation  and  other  financial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660" w:type="dxa"/>
            <w:vAlign w:val="bottom"/>
            <w:tcBorders>
              <w:bottom w:val="single" w:sz="8" w:color="0000FF"/>
            </w:tcBorders>
            <w:gridSpan w:val="12"/>
          </w:tcPr>
          <w:p>
            <w:pPr>
              <w:spacing w:after="0" w:line="15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institutions, dated as of December 23, 2019 (English translation)</w:t>
              </w:r>
            </w:hyperlink>
          </w:p>
        </w:tc>
        <w:tc>
          <w:tcPr>
            <w:tcW w:w="68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10.32</w:t>
            </w:r>
          </w:p>
        </w:tc>
        <w:tc>
          <w:tcPr>
            <w:tcW w:w="5380" w:type="dxa"/>
            <w:vAlign w:val="bottom"/>
            <w:gridSpan w:val="28"/>
          </w:tcPr>
          <w:p>
            <w:pPr>
              <w:spacing w:after="0"/>
              <w:rPr>
                <w:rFonts w:ascii="Arial" w:cs="Arial" w:eastAsia="Arial" w:hAnsi="Arial"/>
                <w:sz w:val="18"/>
                <w:szCs w:val="18"/>
                <w:color w:val="0000FF"/>
              </w:rPr>
            </w:pPr>
            <w:hyperlink r:id="rId147">
              <w:r>
                <w:rPr>
                  <w:rFonts w:ascii="Arial" w:cs="Arial" w:eastAsia="Arial" w:hAnsi="Arial"/>
                  <w:sz w:val="18"/>
                  <w:szCs w:val="18"/>
                  <w:color w:val="0000FF"/>
                </w:rPr>
                <w:t>Guaranty by Amkor Technology, Inc. in favor of Sumitomo Mitsui</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1"/>
              </w:rPr>
              <w:t>12/26/19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3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Banking Corporation and other financial institutions, dated as of</w:t>
              </w:r>
            </w:hyperlink>
          </w:p>
        </w:tc>
        <w:tc>
          <w:tcPr>
            <w:tcW w:w="6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December 23, 2019 (English translation)</w:t>
              </w:r>
            </w:hyperlink>
          </w:p>
        </w:tc>
        <w:tc>
          <w:tcPr>
            <w:tcW w:w="236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10.33</w:t>
            </w:r>
          </w:p>
        </w:tc>
        <w:tc>
          <w:tcPr>
            <w:tcW w:w="5380" w:type="dxa"/>
            <w:vAlign w:val="bottom"/>
            <w:gridSpan w:val="28"/>
          </w:tcPr>
          <w:p>
            <w:pPr>
              <w:spacing w:after="0"/>
              <w:rPr>
                <w:rFonts w:ascii="Arial" w:cs="Arial" w:eastAsia="Arial" w:hAnsi="Arial"/>
                <w:sz w:val="18"/>
                <w:szCs w:val="18"/>
                <w:color w:val="0000FF"/>
                <w:w w:val="98"/>
              </w:rPr>
            </w:pPr>
            <w:hyperlink r:id="rId148">
              <w:r>
                <w:rPr>
                  <w:rFonts w:ascii="Arial" w:cs="Arial" w:eastAsia="Arial" w:hAnsi="Arial"/>
                  <w:sz w:val="18"/>
                  <w:szCs w:val="18"/>
                  <w:color w:val="0000FF"/>
                  <w:w w:val="98"/>
                </w:rPr>
                <w:t>Deed of Guaranty by Amkor Technology Singapore Holding Pte. Ltd.</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980" w:type="dxa"/>
            <w:vAlign w:val="bottom"/>
          </w:tcPr>
          <w:p>
            <w:pPr>
              <w:jc w:val="center"/>
              <w:ind w:right="892"/>
              <w:spacing w:after="0"/>
              <w:rPr>
                <w:sz w:val="20"/>
                <w:szCs w:val="20"/>
                <w:color w:val="auto"/>
              </w:rPr>
            </w:pPr>
            <w:r>
              <w:rPr>
                <w:rFonts w:ascii="Arial" w:cs="Arial" w:eastAsia="Arial" w:hAnsi="Arial"/>
                <w:sz w:val="18"/>
                <w:szCs w:val="18"/>
                <w:color w:val="auto"/>
                <w:w w:val="91"/>
              </w:rPr>
              <w:t>12/26/19</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4"/>
              </w:rPr>
            </w:pPr>
            <w:hyperlink r:id="rId148">
              <w:r>
                <w:rPr>
                  <w:rFonts w:ascii="Arial" w:cs="Arial" w:eastAsia="Arial" w:hAnsi="Arial"/>
                  <w:sz w:val="18"/>
                  <w:szCs w:val="18"/>
                  <w:color w:val="0000FF"/>
                  <w:w w:val="94"/>
                </w:rPr>
                <w:t>in favor of Sumitomo Mitsui Banking Corporation and other financial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80" w:type="dxa"/>
            <w:vAlign w:val="bottom"/>
            <w:gridSpan w:val="18"/>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institutions, dated as of December 23, 2019 (English translation)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10.34</w:t>
            </w:r>
          </w:p>
        </w:tc>
        <w:tc>
          <w:tcPr>
            <w:tcW w:w="33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Non-Employee Director Compensation Policy</w:t>
              </w:r>
            </w:hyperlink>
          </w:p>
        </w:tc>
        <w:tc>
          <w:tcPr>
            <w:tcW w:w="1300" w:type="dxa"/>
            <w:vAlign w:val="bottom"/>
            <w:tcBorders>
              <w:top w:val="single" w:sz="8" w:color="0000FF"/>
            </w:tcBorders>
            <w:gridSpan w:val="3"/>
          </w:tcPr>
          <w:p>
            <w:pPr>
              <w:spacing w:after="0"/>
              <w:rPr>
                <w:sz w:val="18"/>
                <w:szCs w:val="18"/>
                <w:color w:val="auto"/>
              </w:rPr>
            </w:pPr>
          </w:p>
        </w:tc>
        <w:tc>
          <w:tcPr>
            <w:tcW w:w="740" w:type="dxa"/>
            <w:vAlign w:val="bottom"/>
            <w:gridSpan w:val="17"/>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10.35</w:t>
            </w:r>
          </w:p>
        </w:tc>
        <w:tc>
          <w:tcPr>
            <w:tcW w:w="5380" w:type="dxa"/>
            <w:vAlign w:val="bottom"/>
            <w:gridSpan w:val="28"/>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Form  of  Global  Non-Employee  Director  Time-Vested  Restricted</w:t>
              </w:r>
            </w:hyperlink>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1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02">
              <w:r>
                <w:rPr>
                  <w:rFonts w:ascii="Arial" w:cs="Arial" w:eastAsia="Arial" w:hAnsi="Arial"/>
                  <w:sz w:val="18"/>
                  <w:szCs w:val="18"/>
                  <w:color w:val="0000FF"/>
                </w:rPr>
                <w:t>Stock Unit Award Agreement*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10.36</w:t>
            </w:r>
          </w:p>
        </w:tc>
        <w:tc>
          <w:tcPr>
            <w:tcW w:w="5380" w:type="dxa"/>
            <w:vAlign w:val="bottom"/>
            <w:gridSpan w:val="28"/>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Amendment  One  to  the  Amkor  Technology,  Inc.  2021  Equity</w:t>
              </w:r>
            </w:hyperlink>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111">
              <w:r>
                <w:rPr>
                  <w:rFonts w:ascii="Arial" w:cs="Arial" w:eastAsia="Arial" w:hAnsi="Arial"/>
                  <w:sz w:val="18"/>
                  <w:szCs w:val="18"/>
                  <w:color w:val="0000FF"/>
                </w:rPr>
                <w:t>Incentive Plan*</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21.1</w:t>
            </w:r>
          </w:p>
        </w:tc>
        <w:tc>
          <w:tcPr>
            <w:tcW w:w="26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List of subsidiaries of the Registrant.</w:t>
              </w:r>
            </w:hyperlink>
          </w:p>
        </w:tc>
        <w:tc>
          <w:tcPr>
            <w:tcW w:w="2720" w:type="dxa"/>
            <w:vAlign w:val="bottom"/>
            <w:gridSpan w:val="24"/>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23.1</w:t>
            </w:r>
          </w:p>
        </w:tc>
        <w:tc>
          <w:tcPr>
            <w:tcW w:w="5380" w:type="dxa"/>
            <w:vAlign w:val="bottom"/>
            <w:gridSpan w:val="28"/>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Consent of PricewaterhouseCoopers LLP.</w:t>
              </w:r>
            </w:hyperlink>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5380" w:type="dxa"/>
            <w:vAlign w:val="bottom"/>
            <w:gridSpan w:val="28"/>
          </w:tcPr>
          <w:p>
            <w:pPr>
              <w:spacing w:after="0"/>
              <w:rPr>
                <w:rFonts w:ascii="Arial" w:cs="Arial" w:eastAsia="Arial" w:hAnsi="Arial"/>
                <w:sz w:val="18"/>
                <w:szCs w:val="18"/>
                <w:color w:val="0000FF"/>
                <w:w w:val="98"/>
              </w:rPr>
            </w:pPr>
            <w:hyperlink w:anchor="page114">
              <w:r>
                <w:rPr>
                  <w:rFonts w:ascii="Arial" w:cs="Arial" w:eastAsia="Arial" w:hAnsi="Arial"/>
                  <w:sz w:val="18"/>
                  <w:szCs w:val="18"/>
                  <w:color w:val="0000FF"/>
                  <w:w w:val="98"/>
                </w:rPr>
                <w:t>Certification of Guillaume Marie Jean Rutten, Chief Executive Officer</w:t>
              </w:r>
            </w:hyperlink>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of Amkor Technology, Inc., Pursuant to Rule 13a-14(a) under the</w:t>
              </w:r>
            </w:hyperlink>
          </w:p>
        </w:tc>
        <w:tc>
          <w:tcPr>
            <w:tcW w:w="40" w:type="dxa"/>
            <w:vAlign w:val="bottom"/>
            <w:tcBorders>
              <w:bottom w:val="single" w:sz="8" w:color="0000FF"/>
            </w:tcBorders>
            <w:gridSpan w:val="2"/>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380" w:type="dxa"/>
            <w:vAlign w:val="bottom"/>
            <w:gridSpan w:val="28"/>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Securities Exchange Act of 1934, as amended.</w:t>
              </w:r>
            </w:hyperlink>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5380" w:type="dxa"/>
            <w:vAlign w:val="bottom"/>
            <w:gridSpan w:val="28"/>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Certification of Megan Faust, Chief Financial Officer of Amkor</w:t>
              </w:r>
            </w:hyperlink>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7"/>
              </w:rPr>
            </w:pPr>
            <w:hyperlink w:anchor="page115">
              <w:r>
                <w:rPr>
                  <w:rFonts w:ascii="Arial" w:cs="Arial" w:eastAsia="Arial" w:hAnsi="Arial"/>
                  <w:sz w:val="18"/>
                  <w:szCs w:val="18"/>
                  <w:color w:val="0000FF"/>
                  <w:w w:val="97"/>
                </w:rPr>
                <w:t>Technology, Inc., Pursuant to Rule 13a-14(a) under the Securities</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600" w:type="dxa"/>
            <w:vAlign w:val="bottom"/>
            <w:tcBorders>
              <w:bottom w:val="single" w:sz="8" w:color="0000FF"/>
            </w:tcBorders>
            <w:gridSpan w:val="3"/>
          </w:tcPr>
          <w:p>
            <w:pPr>
              <w:spacing w:after="0" w:line="156" w:lineRule="exact"/>
              <w:rPr>
                <w:rFonts w:ascii="Arial" w:cs="Arial" w:eastAsia="Arial" w:hAnsi="Arial"/>
                <w:sz w:val="18"/>
                <w:szCs w:val="18"/>
                <w:color w:val="0000FF"/>
                <w:w w:val="88"/>
              </w:rPr>
            </w:pPr>
            <w:hyperlink w:anchor="page115">
              <w:r>
                <w:rPr>
                  <w:rFonts w:ascii="Arial" w:cs="Arial" w:eastAsia="Arial" w:hAnsi="Arial"/>
                  <w:sz w:val="18"/>
                  <w:szCs w:val="18"/>
                  <w:color w:val="0000FF"/>
                  <w:w w:val="88"/>
                </w:rPr>
                <w:t>Exchange Act of 1934, as amended.</w:t>
              </w:r>
            </w:hyperlink>
          </w:p>
        </w:tc>
        <w:tc>
          <w:tcPr>
            <w:tcW w:w="2540" w:type="dxa"/>
            <w:vAlign w:val="bottom"/>
            <w:gridSpan w:val="13"/>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5380" w:type="dxa"/>
            <w:vAlign w:val="bottom"/>
            <w:gridSpan w:val="28"/>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Certification of Chief Executive Officer and Chief Financial Officer</w:t>
              </w:r>
            </w:hyperlink>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24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w:anchor="page116">
              <w:r>
                <w:rPr>
                  <w:rFonts w:ascii="Arial" w:cs="Arial" w:eastAsia="Arial" w:hAnsi="Arial"/>
                  <w:sz w:val="18"/>
                  <w:szCs w:val="18"/>
                  <w:color w:val="0000FF"/>
                  <w:w w:val="95"/>
                </w:rPr>
                <w:t>Pursuant to 18 U.S.C. Section 1350, as Adopted Pursuant to Section</w:t>
              </w:r>
            </w:hyperlink>
          </w:p>
        </w:tc>
        <w:tc>
          <w:tcPr>
            <w:tcW w:w="140" w:type="dxa"/>
            <w:vAlign w:val="bottom"/>
            <w:gridSpan w:val="7"/>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116">
              <w:r>
                <w:rPr>
                  <w:rFonts w:ascii="Arial" w:cs="Arial" w:eastAsia="Arial" w:hAnsi="Arial"/>
                  <w:sz w:val="18"/>
                  <w:szCs w:val="18"/>
                  <w:color w:val="0000FF"/>
                  <w:w w:val="90"/>
                </w:rPr>
                <w:t>906 of the Sarbanes-Oxley Act of 2002.</w:t>
              </w:r>
            </w:hyperlink>
          </w:p>
        </w:tc>
        <w:tc>
          <w:tcPr>
            <w:tcW w:w="2220" w:type="dxa"/>
            <w:vAlign w:val="bottom"/>
            <w:tcBorders>
              <w:top w:val="single" w:sz="8" w:color="0000FF"/>
            </w:tcBorders>
            <w:gridSpan w:val="9"/>
          </w:tcPr>
          <w:p>
            <w:pPr>
              <w:spacing w:after="0"/>
              <w:rPr>
                <w:sz w:val="13"/>
                <w:szCs w:val="13"/>
                <w:color w:val="auto"/>
              </w:rPr>
            </w:pPr>
          </w:p>
        </w:tc>
        <w:tc>
          <w:tcPr>
            <w:tcW w:w="280" w:type="dxa"/>
            <w:vAlign w:val="bottom"/>
            <w:gridSpan w:val="14"/>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101.INS</w:t>
            </w:r>
          </w:p>
        </w:tc>
        <w:tc>
          <w:tcPr>
            <w:tcW w:w="5380" w:type="dxa"/>
            <w:vAlign w:val="bottom"/>
            <w:gridSpan w:val="28"/>
          </w:tcPr>
          <w:p>
            <w:pPr>
              <w:spacing w:after="0" w:line="196" w:lineRule="exact"/>
              <w:rPr>
                <w:sz w:val="20"/>
                <w:szCs w:val="20"/>
                <w:color w:val="auto"/>
              </w:rPr>
            </w:pPr>
            <w:r>
              <w:rPr>
                <w:rFonts w:ascii="Arial" w:cs="Arial" w:eastAsia="Arial" w:hAnsi="Arial"/>
                <w:sz w:val="18"/>
                <w:szCs w:val="18"/>
                <w:color w:val="auto"/>
              </w:rPr>
              <w:t>Inline XBRL Instance Document - the instance document does not</w:t>
            </w: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jc w:val="center"/>
              <w:ind w:left="992"/>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380" w:type="dxa"/>
            <w:vAlign w:val="bottom"/>
            <w:gridSpan w:val="28"/>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Arial" w:cs="Arial" w:eastAsia="Arial" w:hAnsi="Arial"/>
                <w:sz w:val="18"/>
                <w:szCs w:val="18"/>
                <w:color w:val="auto"/>
              </w:rPr>
              <w:t>embedded within the Inline XBRL document.</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101.SCH</w:t>
            </w:r>
          </w:p>
        </w:tc>
        <w:tc>
          <w:tcPr>
            <w:tcW w:w="538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101.CAL</w:t>
            </w:r>
          </w:p>
        </w:tc>
        <w:tc>
          <w:tcPr>
            <w:tcW w:w="538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101.LAB</w:t>
            </w:r>
          </w:p>
        </w:tc>
        <w:tc>
          <w:tcPr>
            <w:tcW w:w="5380" w:type="dxa"/>
            <w:vAlign w:val="bottom"/>
            <w:gridSpan w:val="2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101.PRE</w:t>
            </w:r>
          </w:p>
        </w:tc>
        <w:tc>
          <w:tcPr>
            <w:tcW w:w="5380" w:type="dxa"/>
            <w:vAlign w:val="bottom"/>
            <w:gridSpan w:val="28"/>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jc w:val="right"/>
              <w:ind w:right="52"/>
              <w:spacing w:after="0"/>
              <w:rPr>
                <w:sz w:val="20"/>
                <w:szCs w:val="20"/>
                <w:color w:val="auto"/>
              </w:rPr>
            </w:pPr>
            <w:r>
              <w:rPr>
                <w:rFonts w:ascii="Arial" w:cs="Arial" w:eastAsia="Arial" w:hAnsi="Arial"/>
                <w:sz w:val="18"/>
                <w:szCs w:val="18"/>
                <w:color w:val="auto"/>
              </w:rPr>
              <w:t>101.DEF</w:t>
            </w:r>
          </w:p>
        </w:tc>
        <w:tc>
          <w:tcPr>
            <w:tcW w:w="5380" w:type="dxa"/>
            <w:vAlign w:val="bottom"/>
            <w:gridSpan w:val="2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80" w:type="dxa"/>
            <w:vAlign w:val="bottom"/>
          </w:tcPr>
          <w:p>
            <w:pPr>
              <w:jc w:val="center"/>
              <w:ind w:left="99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1980" w:type="dxa"/>
            <w:vAlign w:val="bottom"/>
          </w:tcPr>
          <w:p>
            <w:pPr>
              <w:jc w:val="center"/>
              <w:ind w:left="1004"/>
              <w:spacing w:after="0"/>
              <w:rPr>
                <w:sz w:val="20"/>
                <w:szCs w:val="20"/>
                <w:color w:val="auto"/>
              </w:rPr>
            </w:pPr>
            <w:r>
              <w:rPr>
                <w:rFonts w:ascii="Arial" w:cs="Arial" w:eastAsia="Arial" w:hAnsi="Arial"/>
                <w:sz w:val="14"/>
                <w:szCs w:val="14"/>
                <w:b w:val="1"/>
                <w:bCs w:val="1"/>
                <w:color w:val="auto"/>
                <w:w w:val="93"/>
              </w:rPr>
              <w:t>Included</w:t>
            </w: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vMerge w:val="continue"/>
          </w:tcPr>
          <w:p>
            <w:pPr>
              <w:spacing w:after="0"/>
              <w:rPr>
                <w:sz w:val="16"/>
                <w:szCs w:val="16"/>
                <w:color w:val="auto"/>
              </w:rPr>
            </w:pPr>
          </w:p>
        </w:tc>
        <w:tc>
          <w:tcPr>
            <w:tcW w:w="1980" w:type="dxa"/>
            <w:vAlign w:val="bottom"/>
            <w:tcBorders>
              <w:bottom w:val="single" w:sz="8" w:color="auto"/>
            </w:tcBorders>
          </w:tcPr>
          <w:p>
            <w:pPr>
              <w:jc w:val="center"/>
              <w:ind w:left="100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18"/>
        </w:trPr>
        <w:tc>
          <w:tcPr>
            <w:tcW w:w="9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Exhibit</w:t>
            </w:r>
          </w:p>
        </w:tc>
        <w:tc>
          <w:tcPr>
            <w:tcW w:w="53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Exhibit Description</w:t>
            </w: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Form</w:t>
            </w:r>
          </w:p>
        </w:tc>
        <w:tc>
          <w:tcPr>
            <w:tcW w:w="12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Period Ending</w:t>
            </w: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3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240" w:type="dxa"/>
            <w:vAlign w:val="bottom"/>
            <w:gridSpan w:val="2"/>
          </w:tcPr>
          <w:p>
            <w:pPr>
              <w:ind w:left="660"/>
              <w:spacing w:after="0" w:line="170" w:lineRule="exact"/>
              <w:rPr>
                <w:sz w:val="20"/>
                <w:szCs w:val="20"/>
                <w:color w:val="auto"/>
              </w:rPr>
            </w:pPr>
            <w:r>
              <w:rPr>
                <w:rFonts w:ascii="Arial" w:cs="Arial" w:eastAsia="Arial" w:hAnsi="Arial"/>
                <w:sz w:val="18"/>
                <w:szCs w:val="18"/>
                <w:color w:val="auto"/>
              </w:rPr>
              <w:t>104  Cover Page Interactive Data File (formatted as Inline XBRL and</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tcPr>
          <w:p>
            <w:pPr>
              <w:jc w:val="center"/>
              <w:ind w:left="1004"/>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contained in Exhibit 101)</w:t>
            </w: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Indicates management compensatory plan, contract or arrangement.</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AMKOR TECHNOLOGY, INC.</w:t>
      </w:r>
    </w:p>
    <w:p>
      <w:pPr>
        <w:spacing w:after="0" w:line="1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19799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Guillaume Marie Jean Rutten</w:t>
      </w:r>
    </w:p>
    <w:p>
      <w:pPr>
        <w:ind w:left="488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Date: February 18, 2022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Guillaume Marie Jean Rutten and Megan Faust, and each of them, his or her attorneys-in-fact, and agents, each with the power of substitution, for and in the name, place and stead of such person, in any and all capacities, to sign any and all amendments to this Form 10-K,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conforming all that said attorneys-in-fact and agents of any of them, or his, her or their substitute or substitutes, may lawfully do or cause to be done by virtue hereof.</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below by the following persons on behalf of the registrant and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8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Guillaume Marie Jean Rutten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and Chief Executive Officer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0"/>
              </w:rPr>
              <w:t>Guillaume Marie Jean Rutten</w:t>
            </w:r>
          </w:p>
        </w:tc>
        <w:tc>
          <w:tcPr>
            <w:tcW w:w="120" w:type="dxa"/>
            <w:vAlign w:val="bottom"/>
          </w:tcPr>
          <w:p>
            <w:pPr>
              <w:spacing w:after="0"/>
              <w:rPr>
                <w:sz w:val="19"/>
                <w:szCs w:val="19"/>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Megan Faust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Executive Vice President and Chief Financial Officer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87"/>
              </w:rPr>
              <w:t>Megan Faust</w:t>
            </w:r>
          </w:p>
        </w:tc>
        <w:tc>
          <w:tcPr>
            <w:tcW w:w="120" w:type="dxa"/>
            <w:vAlign w:val="bottom"/>
          </w:tcPr>
          <w:p>
            <w:pPr>
              <w:spacing w:after="0"/>
              <w:rPr>
                <w:sz w:val="19"/>
                <w:szCs w:val="19"/>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J. Kim</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Chairman</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88"/>
              </w:rPr>
              <w:t>James J. Kim</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Susan Y. Kim</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Vice Chairman</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Susan Y. Kim</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Douglas A. Alexander</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Douglas A. Alexander</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Roger A. Carolin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3"/>
              </w:rPr>
              <w:t>Roger A. Carolin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86"/>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Winston J. Churchill</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3"/>
              </w:rPr>
              <w:t>Winston J. Churchill</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Daniel Liao</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3"/>
              </w:rPr>
              <w:t>Daniel Liao</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MaryFrances McCourt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2"/>
              </w:rPr>
              <w:t>MaryFrances McCourt</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R. Morse</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0"/>
              </w:rPr>
              <w:t>Robert R. Morse</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Gil C. Tily</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9"/>
              </w:rPr>
              <w:t>Gil C. Tily</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N. Watson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18, 2022</w:t>
            </w:r>
          </w:p>
        </w:tc>
      </w:tr>
      <w:tr>
        <w:trPr>
          <w:trHeight w:val="224"/>
        </w:trPr>
        <w:tc>
          <w:tcPr>
            <w:tcW w:w="3700" w:type="dxa"/>
            <w:vAlign w:val="bottom"/>
          </w:tcPr>
          <w:p>
            <w:pPr>
              <w:jc w:val="center"/>
              <w:spacing w:after="0"/>
              <w:rPr>
                <w:sz w:val="20"/>
                <w:szCs w:val="20"/>
                <w:color w:val="auto"/>
              </w:rPr>
            </w:pPr>
            <w:r>
              <w:rPr>
                <w:rFonts w:ascii="Arial" w:cs="Arial" w:eastAsia="Arial" w:hAnsi="Arial"/>
                <w:sz w:val="18"/>
                <w:szCs w:val="18"/>
                <w:color w:val="auto"/>
                <w:w w:val="91"/>
              </w:rPr>
              <w:t>David N. Watson</w:t>
            </w:r>
          </w:p>
        </w:tc>
        <w:tc>
          <w:tcPr>
            <w:tcW w:w="1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1291" w:right="35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10.34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Amkor Technology, Inc.</w:t>
      </w: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jc w:val="center"/>
        <w:spacing w:after="0"/>
        <w:rPr>
          <w:sz w:val="20"/>
          <w:szCs w:val="20"/>
          <w:color w:val="auto"/>
        </w:rPr>
      </w:pPr>
      <w:r>
        <w:rPr>
          <w:rFonts w:ascii="Arial" w:cs="Arial" w:eastAsia="Arial" w:hAnsi="Arial"/>
          <w:sz w:val="20"/>
          <w:szCs w:val="20"/>
          <w:b w:val="1"/>
          <w:bCs w:val="1"/>
          <w:color w:val="auto"/>
        </w:rPr>
        <w:t>Adopted: February 8, 2022</w:t>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Amkor Technology,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who is a non-employee director of the Company (each such member, a “</w:t>
      </w:r>
      <w:r>
        <w:rPr>
          <w:rFonts w:ascii="Arial" w:cs="Arial" w:eastAsia="Arial" w:hAnsi="Arial"/>
          <w:sz w:val="20"/>
          <w:szCs w:val="20"/>
          <w:b w:val="1"/>
          <w:bCs w:val="1"/>
          <w:color w:val="auto"/>
        </w:rPr>
        <w:t>Non-Employee Director</w:t>
      </w:r>
      <w:r>
        <w:rPr>
          <w:rFonts w:ascii="Arial" w:cs="Arial" w:eastAsia="Arial" w:hAnsi="Arial"/>
          <w:sz w:val="20"/>
          <w:szCs w:val="20"/>
          <w:color w:val="auto"/>
        </w:rPr>
        <w:t>”) will be eligible to receive the compensation described in this Non-Employee Director Compensation Policy (the “</w:t>
      </w:r>
      <w:r>
        <w:rPr>
          <w:rFonts w:ascii="Arial" w:cs="Arial" w:eastAsia="Arial" w:hAnsi="Arial"/>
          <w:sz w:val="20"/>
          <w:szCs w:val="20"/>
          <w:b w:val="1"/>
          <w:bCs w:val="1"/>
          <w:color w:val="auto"/>
        </w:rPr>
        <w:t>Policy</w:t>
      </w:r>
      <w:r>
        <w:rPr>
          <w:rFonts w:ascii="Arial" w:cs="Arial" w:eastAsia="Arial" w:hAnsi="Arial"/>
          <w:sz w:val="20"/>
          <w:szCs w:val="20"/>
          <w:color w:val="auto"/>
        </w:rPr>
        <w:t>”) for his or her Board service. Unless otherwise defined herein, capitalized terms used in this Policy will have the meaning given to such terms in the Company’s 2021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 or any successor equity incentive plan.</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The Policy became effective on February 8, 2022 (the “</w:t>
      </w:r>
      <w:r>
        <w:rPr>
          <w:rFonts w:ascii="Arial" w:cs="Arial" w:eastAsia="Arial" w:hAnsi="Arial"/>
          <w:sz w:val="20"/>
          <w:szCs w:val="20"/>
          <w:b w:val="1"/>
          <w:bCs w:val="1"/>
          <w:color w:val="auto"/>
        </w:rPr>
        <w:t>Effective Date</w:t>
      </w:r>
      <w:r>
        <w:rPr>
          <w:rFonts w:ascii="Arial" w:cs="Arial" w:eastAsia="Arial" w:hAnsi="Arial"/>
          <w:sz w:val="20"/>
          <w:szCs w:val="20"/>
          <w:color w:val="auto"/>
        </w:rPr>
        <w:t>”). The Policy may be amended at any time in the sole discretion of the Board.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 Effective Date, each Non-Employee Director will be eligible to receive the applicable compensation set forth below.</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Any equity compensation contemplated under this Policy will be granted under the Plan or any successor equity incentive plan.</w:t>
      </w:r>
    </w:p>
    <w:p>
      <w:pPr>
        <w:spacing w:after="0" w:line="194" w:lineRule="exact"/>
        <w:rPr>
          <w:sz w:val="20"/>
          <w:szCs w:val="20"/>
          <w:color w:val="auto"/>
        </w:rPr>
      </w:pPr>
    </w:p>
    <w:p>
      <w:pPr>
        <w:jc w:val="both"/>
        <w:ind w:firstLine="656"/>
        <w:spacing w:after="0" w:line="294" w:lineRule="auto"/>
        <w:tabs>
          <w:tab w:leader="none" w:pos="12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Retainer for Board Service. </w:t>
      </w:r>
      <w:r>
        <w:rPr>
          <w:rFonts w:ascii="Arial" w:cs="Arial" w:eastAsia="Arial" w:hAnsi="Arial"/>
          <w:sz w:val="18"/>
          <w:szCs w:val="18"/>
          <w:color w:val="auto"/>
        </w:rPr>
        <w:t>Each person serving as a Non-Employee Director will be paid an annual cash retainer of</w:t>
      </w:r>
      <w:r>
        <w:rPr>
          <w:rFonts w:ascii="Arial" w:cs="Arial" w:eastAsia="Arial" w:hAnsi="Arial"/>
          <w:sz w:val="18"/>
          <w:szCs w:val="18"/>
          <w:b w:val="1"/>
          <w:bCs w:val="1"/>
          <w:color w:val="auto"/>
        </w:rPr>
        <w:t xml:space="preserve"> </w:t>
      </w:r>
      <w:r>
        <w:rPr>
          <w:rFonts w:ascii="Arial" w:cs="Arial" w:eastAsia="Arial" w:hAnsi="Arial"/>
          <w:sz w:val="18"/>
          <w:szCs w:val="18"/>
          <w:color w:val="auto"/>
        </w:rPr>
        <w:t>$60,000, payable in quarterly installments. Each Non-Employee Director will be paid an additional annual cash retainer of $2,000, payable in quarterly installments, for participation in each in-person Board meeting (or $1,000 for participation in each telephonic Board meeting).</w:t>
      </w:r>
    </w:p>
    <w:p>
      <w:pPr>
        <w:spacing w:after="0" w:line="150"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The following additional annual cash retainers, payable in quarterly installments, will be paid to a Non-Employee Director serving in each of the following applicable roles: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Lead Independent Director: $25,000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Executive Vice Chair: $150,000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Strategic Oversight Role: $75,000</w:t>
      </w:r>
    </w:p>
    <w:p>
      <w:pPr>
        <w:spacing w:after="0" w:line="210" w:lineRule="exact"/>
        <w:rPr>
          <w:sz w:val="20"/>
          <w:szCs w:val="20"/>
          <w:color w:val="auto"/>
        </w:rPr>
      </w:pPr>
    </w:p>
    <w:p>
      <w:pPr>
        <w:ind w:left="1300" w:hanging="644"/>
        <w:spacing w:after="0"/>
        <w:tabs>
          <w:tab w:leader="none" w:pos="130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Retainer for Committee Service. </w:t>
      </w:r>
      <w:r>
        <w:rPr>
          <w:rFonts w:ascii="Arial" w:cs="Arial" w:eastAsia="Arial" w:hAnsi="Arial"/>
          <w:sz w:val="18"/>
          <w:szCs w:val="18"/>
          <w:color w:val="auto"/>
        </w:rPr>
        <w:t>Each Non-Employee Director serving on the Audit, Compensation, and Nominating</w:t>
      </w:r>
    </w:p>
    <w:p>
      <w:pPr>
        <w:spacing w:after="0" w:line="44" w:lineRule="exact"/>
        <w:rPr>
          <w:rFonts w:ascii="Arial" w:cs="Arial" w:eastAsia="Arial" w:hAnsi="Arial"/>
          <w:sz w:val="18"/>
          <w:szCs w:val="18"/>
          <w:b w:val="1"/>
          <w:bCs w:val="1"/>
          <w:color w:val="auto"/>
        </w:rPr>
      </w:pPr>
    </w:p>
    <w:p>
      <w:pPr>
        <w:ind w:firstLine="8"/>
        <w:spacing w:after="0" w:line="269" w:lineRule="auto"/>
        <w:tabs>
          <w:tab w:leader="none" w:pos="242" w:val="left"/>
        </w:tabs>
        <w:numPr>
          <w:ilvl w:val="0"/>
          <w:numId w:val="41"/>
        </w:numPr>
        <w:rPr>
          <w:rFonts w:ascii="Arial" w:cs="Arial" w:eastAsia="Arial" w:hAnsi="Arial"/>
          <w:sz w:val="19"/>
          <w:szCs w:val="19"/>
          <w:color w:val="auto"/>
        </w:rPr>
      </w:pPr>
      <w:r>
        <w:rPr>
          <w:rFonts w:ascii="Arial" w:cs="Arial" w:eastAsia="Arial" w:hAnsi="Arial"/>
          <w:sz w:val="19"/>
          <w:szCs w:val="19"/>
          <w:color w:val="auto"/>
        </w:rPr>
        <w:t>Corporate Governance Committees will be paid an additional annual cash retainer of $2,000, payable in quarterly installments, for participation in each in-person committee meeting (or $1,000 for participation in each telephonic committee meeting).</w:t>
      </w:r>
    </w:p>
    <w:p>
      <w:pPr>
        <w:spacing w:after="0" w:line="169"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The following annual cash retainers, payable in quarterly installments, will be paid to a Non-Employee Director serving as the Chair of a committee of the Board as listed below:</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Audit Chair: $25,000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Compensation Chair: $15,000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Nominating &amp; Corporate Governance Chair: $10,000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45" w:right="339" w:bottom="1440" w:gutter="0" w:footer="0" w:header="0"/>
        </w:sectPr>
      </w:pPr>
    </w:p>
    <w:bookmarkStart w:id="100" w:name="page101"/>
    <w:bookmarkEnd w:id="100"/>
    <w:p>
      <w:pPr>
        <w:jc w:val="both"/>
        <w:ind w:firstLine="656"/>
        <w:spacing w:after="0" w:line="271" w:lineRule="auto"/>
        <w:tabs>
          <w:tab w:leader="none" w:pos="1286"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Annual Equity Award Grant</w:t>
      </w:r>
      <w:r>
        <w:rPr>
          <w:rFonts w:ascii="Arial" w:cs="Arial" w:eastAsia="Arial" w:hAnsi="Arial"/>
          <w:sz w:val="18"/>
          <w:szCs w:val="18"/>
          <w:color w:val="auto"/>
        </w:rPr>
        <w:t>. Without any further action by the Board, at the close of business on the date of each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stockholders of the Company following the Effective Date (each, an “</w:t>
      </w:r>
      <w:r>
        <w:rPr>
          <w:rFonts w:ascii="Arial" w:cs="Arial" w:eastAsia="Arial" w:hAnsi="Arial"/>
          <w:sz w:val="18"/>
          <w:szCs w:val="18"/>
          <w:b w:val="1"/>
          <w:bCs w:val="1"/>
          <w:color w:val="auto"/>
        </w:rPr>
        <w:t>Annual Meeting</w:t>
      </w:r>
      <w:r>
        <w:rPr>
          <w:rFonts w:ascii="Arial" w:cs="Arial" w:eastAsia="Arial" w:hAnsi="Arial"/>
          <w:sz w:val="18"/>
          <w:szCs w:val="18"/>
          <w:color w:val="auto"/>
        </w:rPr>
        <w:t>”), each person who is then a Non-Employee Director will automatically be granted Restricted Stock Units equal to (A) $175,000, divided by (B) the Fair Market Value of a share of Common Stock on the date of the applicable Annual Meeting (each, an “Annual Grant”). A Non-Employee Director who has been elected or appointed for the first time to be a Non-Employee Director after the Annual Meeting (a “</w:t>
      </w:r>
      <w:r>
        <w:rPr>
          <w:rFonts w:ascii="Arial" w:cs="Arial" w:eastAsia="Arial" w:hAnsi="Arial"/>
          <w:sz w:val="18"/>
          <w:szCs w:val="18"/>
          <w:b w:val="1"/>
          <w:bCs w:val="1"/>
          <w:color w:val="auto"/>
        </w:rPr>
        <w:t>New Director</w:t>
      </w:r>
      <w:r>
        <w:rPr>
          <w:rFonts w:ascii="Arial" w:cs="Arial" w:eastAsia="Arial" w:hAnsi="Arial"/>
          <w:sz w:val="18"/>
          <w:szCs w:val="18"/>
          <w:color w:val="auto"/>
        </w:rPr>
        <w:t>”) will receive a pro-rated Annual Grant (I) the value of which will be equal to the product of (1) the Annual Grant value by (2) a fraction, the numerator of which will be equal to the number of days in the period beginning on the date the New Director was elected or appointed to the date of the next subsequent Annual Meeting (the “</w:t>
      </w:r>
      <w:r>
        <w:rPr>
          <w:rFonts w:ascii="Arial" w:cs="Arial" w:eastAsia="Arial" w:hAnsi="Arial"/>
          <w:sz w:val="18"/>
          <w:szCs w:val="18"/>
          <w:b w:val="1"/>
          <w:bCs w:val="1"/>
          <w:color w:val="auto"/>
        </w:rPr>
        <w:t>Pro-Rated Annual Grant</w:t>
      </w:r>
      <w:r>
        <w:rPr>
          <w:rFonts w:ascii="Arial" w:cs="Arial" w:eastAsia="Arial" w:hAnsi="Arial"/>
          <w:sz w:val="18"/>
          <w:szCs w:val="18"/>
          <w:color w:val="auto"/>
        </w:rPr>
        <w:t>”) and (ii) the number of RSUs covered by such pro-rated Annual Grant which will be equal to (1) the Pro-Rated Annual Grant divided by (2) the Fair Market Value of a share of Common Stock on the date of grant. Each Annual Grant will fully vest on the earlier of (1) the first anniversary of the applicable grant date and (2) the date of the first Annual Meeting following the applicable grant date, subject to the Non-Employee Director’s continuous service as a Director through the vesting date.</w:t>
      </w:r>
    </w:p>
    <w:p>
      <w:pPr>
        <w:spacing w:after="0" w:line="169" w:lineRule="exact"/>
        <w:rPr>
          <w:rFonts w:ascii="Arial" w:cs="Arial" w:eastAsia="Arial" w:hAnsi="Arial"/>
          <w:sz w:val="18"/>
          <w:szCs w:val="18"/>
          <w:b w:val="1"/>
          <w:bCs w:val="1"/>
          <w:color w:val="auto"/>
        </w:rPr>
      </w:pPr>
    </w:p>
    <w:p>
      <w:pPr>
        <w:jc w:val="both"/>
        <w:ind w:firstLine="1304"/>
        <w:spacing w:after="0" w:line="253" w:lineRule="auto"/>
        <w:tabs>
          <w:tab w:leader="none" w:pos="1942" w:val="left"/>
        </w:tabs>
        <w:numPr>
          <w:ilvl w:val="2"/>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w:t>
      </w:r>
      <w:r>
        <w:rPr>
          <w:rFonts w:ascii="Arial" w:cs="Arial" w:eastAsia="Arial" w:hAnsi="Arial"/>
          <w:sz w:val="20"/>
          <w:szCs w:val="20"/>
          <w:color w:val="auto"/>
        </w:rPr>
        <w:t>. Notwithstanding the foregoing, all unvested equity awards granted pursuant to Section (c) will</w:t>
      </w:r>
      <w:r>
        <w:rPr>
          <w:rFonts w:ascii="Arial" w:cs="Arial" w:eastAsia="Arial" w:hAnsi="Arial"/>
          <w:sz w:val="20"/>
          <w:szCs w:val="20"/>
          <w:b w:val="1"/>
          <w:bCs w:val="1"/>
          <w:color w:val="auto"/>
        </w:rPr>
        <w:t xml:space="preserve"> </w:t>
      </w:r>
      <w:r>
        <w:rPr>
          <w:rFonts w:ascii="Arial" w:cs="Arial" w:eastAsia="Arial" w:hAnsi="Arial"/>
          <w:sz w:val="20"/>
          <w:szCs w:val="20"/>
          <w:color w:val="auto"/>
        </w:rPr>
        <w:t>fully vest upon a Change in Control if the successor or acquiring company does not assume or provide a substitute for the awards in connection with the Change in Control.</w:t>
      </w:r>
    </w:p>
    <w:p>
      <w:pPr>
        <w:spacing w:after="0" w:line="177" w:lineRule="exact"/>
        <w:rPr>
          <w:rFonts w:ascii="Arial" w:cs="Arial" w:eastAsia="Arial" w:hAnsi="Arial"/>
          <w:sz w:val="20"/>
          <w:szCs w:val="20"/>
          <w:b w:val="1"/>
          <w:bCs w:val="1"/>
          <w:color w:val="auto"/>
        </w:rPr>
      </w:pPr>
    </w:p>
    <w:p>
      <w:pPr>
        <w:ind w:firstLine="656"/>
        <w:spacing w:after="0" w:line="267" w:lineRule="auto"/>
        <w:tabs>
          <w:tab w:leader="none" w:pos="1295"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Death or Disability</w:t>
      </w:r>
      <w:r>
        <w:rPr>
          <w:rFonts w:ascii="Arial" w:cs="Arial" w:eastAsia="Arial" w:hAnsi="Arial"/>
          <w:sz w:val="20"/>
          <w:szCs w:val="20"/>
          <w:color w:val="auto"/>
        </w:rPr>
        <w:t>. Notwithstanding the foregoing, equity awards granted to Non-Employee Directors pursuant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Policy will fully vest upon such Non-Employee Director’s death or termination of service as a Director due to disability.</w:t>
      </w:r>
    </w:p>
    <w:p>
      <w:pPr>
        <w:spacing w:after="0" w:line="163" w:lineRule="exact"/>
        <w:rPr>
          <w:rFonts w:ascii="Arial" w:cs="Arial" w:eastAsia="Arial" w:hAnsi="Arial"/>
          <w:sz w:val="20"/>
          <w:szCs w:val="20"/>
          <w:b w:val="1"/>
          <w:bCs w:val="1"/>
          <w:color w:val="auto"/>
        </w:rPr>
      </w:pPr>
    </w:p>
    <w:p>
      <w:pPr>
        <w:ind w:firstLine="1304"/>
        <w:spacing w:after="0" w:line="293" w:lineRule="auto"/>
        <w:tabs>
          <w:tab w:leader="none" w:pos="1942" w:val="left"/>
        </w:tabs>
        <w:numPr>
          <w:ilvl w:val="2"/>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Other Terms</w:t>
      </w:r>
      <w:r>
        <w:rPr>
          <w:rFonts w:ascii="Arial" w:cs="Arial" w:eastAsia="Arial" w:hAnsi="Arial"/>
          <w:sz w:val="19"/>
          <w:szCs w:val="19"/>
          <w:color w:val="auto"/>
        </w:rPr>
        <w:t>. The remaining terms and conditions of each Restricted Stock Unit award will be as set forth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and the applicable Restricted Stock Unit award agreement for Directors, in the form adopted from time to time by the Board.</w:t>
      </w:r>
    </w:p>
    <w:p>
      <w:pPr>
        <w:spacing w:after="0" w:line="141" w:lineRule="exact"/>
        <w:rPr>
          <w:rFonts w:ascii="Arial" w:cs="Arial" w:eastAsia="Arial" w:hAnsi="Arial"/>
          <w:sz w:val="19"/>
          <w:szCs w:val="19"/>
          <w:b w:val="1"/>
          <w:bCs w:val="1"/>
          <w:color w:val="auto"/>
        </w:rPr>
      </w:pPr>
    </w:p>
    <w:p>
      <w:pPr>
        <w:ind w:left="660" w:hanging="652"/>
        <w:spacing w:after="0"/>
        <w:tabs>
          <w:tab w:leader="none" w:pos="6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Non-Employee Director Compensation Limit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Notwithstanding anything herein to the contrary, the cash and equity compensation each Non-Employee Director is eligible to receive under this Policy (or otherwise) will be subject to the limits set forth in Section 12 of the Plan.</w:t>
      </w:r>
    </w:p>
    <w:p>
      <w:pPr>
        <w:spacing w:after="0" w:line="17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will reimburse each Non-Employee Director for ordinary, necessary and reasonable out-of-pocket travel expenses to cover in-person attendance at and participation in Board and committee meetings, subject to the Non-Employee Director submitting to the Company appropriate documentation substantiating such expenses in accordance with the Company’s travel and expense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886"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10.35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AMKOR TECHNOLOGY,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EQUITY INCENTIVE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NON-EMPLOYEE DIRECTOR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TIME-VESTED RESTRICTED STOCK UNIT AWARD AGREEMENT</w:t>
      </w:r>
    </w:p>
    <w:p>
      <w:pPr>
        <w:spacing w:after="0" w:line="1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Unless otherwise defined herein, each term used in this Global Non-Employee Director Restricted Stock Unit Award Agreement, including the general terms and conditions for all non-U.S. Participants and the additional terms and conditions for certain countries, all as set forth in the appendix attached hereto (the “Appendix” and, together with the Global Non-Employee Director Restricted Stock Unit Award Agreement, the “Award Agreement”) and defined in the Amkor Technology, Inc. 2021 Equity Incentive Plan (the “Plan”) will have the same meaning as is given to such term in the Plan.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 Name:</w:t>
      </w:r>
    </w:p>
    <w:p>
      <w:pPr>
        <w:spacing w:after="0" w:line="14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You have been granted the right to receive an Award of Restricted Stock Units, subject to the terms and conditions of the Plan and this Award Agreement, as follows: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788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7886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Number of 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788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firstLine="8"/>
        <w:spacing w:after="0" w:line="237" w:lineRule="auto"/>
        <w:tabs>
          <w:tab w:leader="none" w:pos="64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individual named above (“Participant”) under the Plan an Award of Restricted Stock Units,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spacing w:after="0" w:line="122" w:lineRule="exact"/>
        <w:rPr>
          <w:rFonts w:ascii="Arial" w:cs="Arial" w:eastAsia="Arial" w:hAnsi="Arial"/>
          <w:sz w:val="17"/>
          <w:szCs w:val="17"/>
          <w:color w:val="auto"/>
        </w:rPr>
      </w:pPr>
    </w:p>
    <w:p>
      <w:pPr>
        <w:jc w:val="both"/>
        <w:ind w:firstLine="8"/>
        <w:spacing w:after="0" w:line="237"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On each date that a cash dividend is paid to holders of Shares from the Date of Grant through the date immediately prior to the date the Restricted Stock Units are settled, an amount (the “Dividend Equivalent Amount”) equal to the cash dividend that is paid on each Share, multiplied by the Number of Restricted Stock Units Granted, will be credited to Participant, and such credited amount will be converted into an additional number of Restricted Stock Units (“Dividend Equivalent Units”) determined by dividing the Dividend Equivalent Amount by the Fair Market Value of a Share on the date of the dividend payment. Dividend Equivalent Units will be subject to the same conditions as the underlying Restricted Stock Units with respect to which Dividend Equivalent Units were paid, including without limitation, the provisions governing time and form of settlement applicable to the underlying Restricted Stock Units. Unless expressly provided otherwise, as used elsewhere in this Agreement, references to Restricted Stock Units in this Agreement shall also include Dividend Equivalent Units that have been credited to Participant pursuant to this Section 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8"/>
        <w:spacing w:after="0" w:line="209"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100% of the Shares subject to this Award shall become vested on the earlier of the first anniversary of the Date of Grant or the date of the first annual meeting of the stockholders of the Company immediately following the Date of Grant. 100% of the Shares subject to this Award also shall vest upon Participant’s death or cessation as a Director due to Disability. “Disability” for purposes of this Agreement shall mean the Director’s inability to perform in all material respects such Director’s duties and responsibilities to the Company by reason of a physical or mental disability or infirmity which inability is reasonably expected to be permanent and has continued (i) for a period of six consecutive months or (ii) such shorter period as the Administrator may reasonably determine in its sole discretion. In the event of a Change in Control, the Award will be treated as the Administrator determines in accordance with the Plan, including, without limitation, assumption or grant of a substitute award by the successor or acquiring company. If the successor or acquiring company does not assume or provide a substitute for the Award, the Award will fully vest in connection with such Change in Control. Vesting on the dates set forth above, or upon death, Disability or Change in Control shall be subject in all cases to Participant continuing to be a Director on such dates.</w:t>
      </w:r>
    </w:p>
    <w:p>
      <w:pPr>
        <w:spacing w:after="0" w:line="128" w:lineRule="exact"/>
        <w:rPr>
          <w:rFonts w:ascii="Arial" w:cs="Arial" w:eastAsia="Arial" w:hAnsi="Arial"/>
          <w:sz w:val="18"/>
          <w:szCs w:val="18"/>
          <w:color w:val="auto"/>
        </w:rPr>
      </w:pPr>
    </w:p>
    <w:p>
      <w:pPr>
        <w:jc w:val="both"/>
        <w:ind w:firstLine="8"/>
        <w:spacing w:after="0" w:line="226" w:lineRule="auto"/>
        <w:tabs>
          <w:tab w:leader="none" w:pos="64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Subject to Section 7 hereof, and except as otherwise provided pursuant to an election made by Participant to defer the settlement of the Restricted Stock Units is deferred by Participant, promptly following the applicable vesting date (including any accelerated vesting date under Section 3), and in any event within thirty (30) days thereof, the Company shall, in the Administrator’s sole discretion, either (i) pay to Participant an amount in cash equal to the Fair Market Value of the Shares represented by the Restricted Stock Units that vested as of the most recent vesting date or (ii) (a) issue and deliver to Participant the number of Shares equal to the number of vested Restricted Stock Units and (b) enter Participant’s name on the books of the Company as the stockholder of record with respect to the Shares delivered to Participant.</w:t>
      </w:r>
    </w:p>
    <w:p>
      <w:pPr>
        <w:spacing w:after="0" w:line="137" w:lineRule="exact"/>
        <w:rPr>
          <w:rFonts w:ascii="Arial" w:cs="Arial" w:eastAsia="Arial" w:hAnsi="Arial"/>
          <w:sz w:val="17"/>
          <w:szCs w:val="17"/>
          <w:color w:val="auto"/>
        </w:rPr>
      </w:pPr>
    </w:p>
    <w:p>
      <w:pPr>
        <w:jc w:val="both"/>
        <w:ind w:firstLine="8"/>
        <w:spacing w:after="0" w:line="259" w:lineRule="auto"/>
        <w:tabs>
          <w:tab w:leader="none" w:pos="64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Forfeiture upon Termination of Status as a Director</w:t>
      </w:r>
      <w:r>
        <w:rPr>
          <w:rFonts w:ascii="Arial" w:cs="Arial" w:eastAsia="Arial" w:hAnsi="Arial"/>
          <w:sz w:val="16"/>
          <w:szCs w:val="16"/>
          <w:color w:val="auto"/>
        </w:rPr>
        <w:t>. Notwithstanding any contrary provision of this Award Agreement, but subject to the vesting provisions set forth in this Award Agreement and Section 3 above, the balance of the Restricted Stock Units that have not vested at the time of Participant’s termination as a Director for any reason will be forfeited (with no consideration due to Participant) and Participant will have no further rights thereunder.</w:t>
      </w:r>
    </w:p>
    <w:p>
      <w:pPr>
        <w:spacing w:after="0" w:line="106" w:lineRule="exact"/>
        <w:rPr>
          <w:rFonts w:ascii="Arial" w:cs="Arial" w:eastAsia="Arial" w:hAnsi="Arial"/>
          <w:sz w:val="16"/>
          <w:szCs w:val="16"/>
          <w:color w:val="auto"/>
        </w:rPr>
      </w:pPr>
    </w:p>
    <w:p>
      <w:pPr>
        <w:jc w:val="both"/>
        <w:ind w:firstLine="8"/>
        <w:spacing w:after="0" w:line="228" w:lineRule="auto"/>
        <w:tabs>
          <w:tab w:leader="none" w:pos="64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Notwithstanding any provision of this Award Agreement to the contrary, any distribution or delivery to be made to Participant under this Award Agreement will, if Participant is then deceased, be made to the administrator or executor of Participant’s estate, Participant’s legal heirs or, provided such designation has been permitted by the Company and/or is valid under Applicable Laws, Participant’s designated beneficiary.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24" w:lineRule="exact"/>
        <w:rPr>
          <w:rFonts w:ascii="Arial" w:cs="Arial" w:eastAsia="Arial" w:hAnsi="Arial"/>
          <w:sz w:val="17"/>
          <w:szCs w:val="17"/>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highlight w:val="white"/>
        </w:rPr>
        <w:t>.</w:t>
      </w:r>
    </w:p>
    <w:p>
      <w:pPr>
        <w:spacing w:after="0" w:line="157" w:lineRule="exact"/>
        <w:rPr>
          <w:rFonts w:ascii="Arial" w:cs="Arial" w:eastAsia="Arial" w:hAnsi="Arial"/>
          <w:sz w:val="18"/>
          <w:szCs w:val="18"/>
          <w:color w:val="auto"/>
        </w:rPr>
      </w:pPr>
    </w:p>
    <w:p>
      <w:pPr>
        <w:jc w:val="both"/>
        <w:ind w:left="80" w:firstLine="657"/>
        <w:spacing w:after="0" w:line="236" w:lineRule="auto"/>
        <w:tabs>
          <w:tab w:leader="none" w:pos="1292" w:val="left"/>
        </w:tabs>
        <w:numPr>
          <w:ilvl w:val="1"/>
          <w:numId w:val="46"/>
        </w:numPr>
        <w:rPr>
          <w:rFonts w:ascii="Arial" w:cs="Arial" w:eastAsia="Arial" w:hAnsi="Arial"/>
          <w:sz w:val="16"/>
          <w:szCs w:val="16"/>
          <w:color w:val="auto"/>
        </w:rPr>
      </w:pPr>
      <w:r>
        <w:rPr>
          <w:rFonts w:ascii="Arial" w:cs="Arial" w:eastAsia="Arial" w:hAnsi="Arial"/>
          <w:sz w:val="16"/>
          <w:szCs w:val="16"/>
          <w:color w:val="auto"/>
        </w:rPr>
        <w:t>Participant acknowledges and agrees that Participant will consult with his or her own personal tax advisor regarding any income tax, social insurance contributions, or other tax-related items legally applicable to Participant or deemed legally applicable to Participant (“Tax-Related Items”) that may arise in connection with the Restricted Stock Units and Participant’s participation in the Plan. Participant is relying solely on such advisor and is not relying in any part on any statement or representation of the Company or any of its agents in relation to the Restricted Stock Units and this Agreement. The Company shall not be responsible for payment of any Tax-Related Items, unless it is required to withhold Tax-Related Items under Applicable Law. Participant further acknowledges that the Company: (i) makes no representations or undertakings regarding the treatment of any Tax-Related Items in connection with any aspect of the Restricted Stock Units, including, but not limited to, the grant, vesting, or settlement of the Restricted Stock Units, the issuance of Shares in settlement of the Restricted Stock Units, or the subsequent sale of Shares acquired at vesting or settlement and the receipt of any dividends or Dividend Equivalent Units; and (ii) does not commit to and is under no obligation to structure the terms of the grant or any aspect of the Restricted Stock Units to reduce or eliminate Participant’s liability for Tax-Related Items or achieve any particular tax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56"/>
        <w:spacing w:after="0" w:line="211"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may take such action as it deems appropriate to ensure that all Tax-Related Items, which are Participant’s sole and absolute responsibility, are withheld or collected from Participant, if and to the extent required by Applicable Law. If withholding of Tax-Related Items is required by Applicable Law, Participant authorizes the Company, or its agents, at their discretion, to satisfy any such withholding obligations by one or a combination of the following: (i) withholding from Participant’s cash fees or any other compensation payable to Participant by the Company; (ii) causing Participant to tender a cash payment (</w:t>
      </w:r>
      <w:r>
        <w:rPr>
          <w:rFonts w:ascii="Arial" w:cs="Arial" w:eastAsia="Arial" w:hAnsi="Arial"/>
          <w:sz w:val="18"/>
          <w:szCs w:val="18"/>
          <w:i w:val="1"/>
          <w:iCs w:val="1"/>
          <w:color w:val="auto"/>
        </w:rPr>
        <w:t>i.e.</w:t>
      </w:r>
      <w:r>
        <w:rPr>
          <w:rFonts w:ascii="Arial" w:cs="Arial" w:eastAsia="Arial" w:hAnsi="Arial"/>
          <w:sz w:val="18"/>
          <w:szCs w:val="18"/>
          <w:color w:val="auto"/>
        </w:rPr>
        <w:t>, check or bank wire); (iii) withholding from proceeds of the sale of the Shares subject to the Restricted Stock Units either through a voluntary sale or through a mandatory sale arranged by the Company (on Participant’s behalf pursuant to this authorization without further consent); (iv) withholding Shares subject to the Restricted Stock Units; or (v) any method determined by the Administrator to be in compliance with Applicable Laws.</w:t>
      </w:r>
    </w:p>
    <w:p>
      <w:pPr>
        <w:spacing w:after="0" w:line="164" w:lineRule="exact"/>
        <w:rPr>
          <w:rFonts w:ascii="Arial" w:cs="Arial" w:eastAsia="Arial" w:hAnsi="Arial"/>
          <w:sz w:val="18"/>
          <w:szCs w:val="18"/>
          <w:color w:val="auto"/>
        </w:rPr>
      </w:pPr>
    </w:p>
    <w:p>
      <w:pPr>
        <w:jc w:val="both"/>
        <w:ind w:firstLine="656"/>
        <w:spacing w:after="0" w:line="225" w:lineRule="auto"/>
        <w:tabs>
          <w:tab w:leader="none" w:pos="1293"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Company may withhold or account for Tax-Related Items by considering statutory withholding amounts or other applicable withholding rates, including maximum rates applicable in the jurisdiction(s) in which the Tax-Related Items are due. In the event of over-withholding, Participant may receive a refund of any over-withheld amount in cash (with no entitlement to the equivalent in Shares), or if not refunded, Participant may be able to seek a refund from the applicable tax authorities. In the event of under-withholding, Participant may be required to pay any additional Tax-Related Items directly to the applicable tax authorities or to the Company. If the obligation for Tax-Related Items is satisfied by withholding Shares, for tax purposes, Participant is deemed to have received the full number of Shares subject to the vested Restricted Stock Units, notwithstanding that a number of the Shares is held back solely for the purpose of paying the Tax-Related Items.</w:t>
      </w:r>
    </w:p>
    <w:p>
      <w:pPr>
        <w:spacing w:after="0" w:line="161" w:lineRule="exact"/>
        <w:rPr>
          <w:rFonts w:ascii="Arial" w:cs="Arial" w:eastAsia="Arial" w:hAnsi="Arial"/>
          <w:sz w:val="17"/>
          <w:szCs w:val="17"/>
          <w:color w:val="auto"/>
        </w:rPr>
      </w:pPr>
    </w:p>
    <w:p>
      <w:pPr>
        <w:jc w:val="both"/>
        <w:ind w:firstLine="656"/>
        <w:spacing w:after="0" w:line="259"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Company shall not be obligated to deliver any new certificate representing Shares to Participant or Participant’s legal representative or enter such Shares in book entry form unless and until Participant or Participant’s legal representative shall have paid or otherwise satisfied Participant’s obligations in connection with the Tax-Related Items resulting from the Restricted Stock Units or the Shares subject to the Restricted Stock Units.</w:t>
      </w:r>
    </w:p>
    <w:p>
      <w:pPr>
        <w:spacing w:after="0" w:line="146" w:lineRule="exact"/>
        <w:rPr>
          <w:rFonts w:ascii="Arial" w:cs="Arial" w:eastAsia="Arial" w:hAnsi="Arial"/>
          <w:sz w:val="16"/>
          <w:szCs w:val="16"/>
          <w:color w:val="auto"/>
        </w:rPr>
      </w:pPr>
    </w:p>
    <w:p>
      <w:pPr>
        <w:jc w:val="both"/>
        <w:ind w:firstLine="8"/>
        <w:spacing w:after="0" w:line="241" w:lineRule="auto"/>
        <w:tabs>
          <w:tab w:leader="none" w:pos="64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Neither Participant nor any person claiming under or through Participant will have any of the rights or privileges of a stockholder of the Company in respect of any Shares deliverable hereunder unless and until the Restricted Stock Units have vested and are settled by the issuance of Shares in accordance with Section 4, the Share issuance is recorded on the records of the Company or its transfer agents or registrars, and certificates representing such Shares have been issued (if the Shares are certificated or evidence of book entry if the Shares are not certificated) and delivered to Participant. After such vesting, settlement, issuance, recordation and delivery, Participant will have all the rights of a stockholder of the Company with respect to such Shares for which such conditions are met, including voting and receipt of dividends and distributions on such Shares.</w:t>
      </w:r>
    </w:p>
    <w:p>
      <w:pPr>
        <w:spacing w:after="0" w:line="119" w:lineRule="exact"/>
        <w:rPr>
          <w:rFonts w:ascii="Arial" w:cs="Arial" w:eastAsia="Arial" w:hAnsi="Arial"/>
          <w:sz w:val="16"/>
          <w:szCs w:val="16"/>
          <w:color w:val="auto"/>
        </w:rPr>
      </w:pPr>
    </w:p>
    <w:p>
      <w:pPr>
        <w:jc w:val="both"/>
        <w:ind w:firstLine="8"/>
        <w:spacing w:after="0" w:line="214" w:lineRule="auto"/>
        <w:tabs>
          <w:tab w:leader="none" w:pos="6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Appendix. For Participants outside the United States, the Restricted Stock Units shall be subject to the general terms and conditions for all non-</w:t>
      </w:r>
      <w:r>
        <w:rPr>
          <w:rFonts w:ascii="Arial" w:cs="Arial" w:eastAsia="Arial" w:hAnsi="Arial"/>
          <w:sz w:val="18"/>
          <w:szCs w:val="18"/>
          <w:color w:val="auto"/>
          <w:highlight w:val="white"/>
        </w:rPr>
        <w:t xml:space="preserve">U.S. Participants and the additional terms and conditions for certain countries set forth in the Appendix attached hereto. Moreover, if Participant relocates </w:t>
      </w:r>
      <w:r>
        <w:rPr>
          <w:rFonts w:ascii="Arial" w:cs="Arial" w:eastAsia="Arial" w:hAnsi="Arial"/>
          <w:sz w:val="18"/>
          <w:szCs w:val="18"/>
          <w:color w:val="auto"/>
        </w:rPr>
        <w:t xml:space="preserve">from the U.S. to one of the countries included in the Appendix or if Participant relocates between countries included in the Appendix during the vesting period of the Restricted Stock Units, the general terms and conditions for all non-U.S. Participants and the additional terms and conditions for such country shall apply to Participant, to the extent the Company determines that the application of such terms and conditions is necessary or advisable for legal or </w:t>
      </w:r>
      <w:r>
        <w:rPr>
          <w:rFonts w:ascii="Arial" w:cs="Arial" w:eastAsia="Arial" w:hAnsi="Arial"/>
          <w:sz w:val="18"/>
          <w:szCs w:val="18"/>
          <w:color w:val="auto"/>
          <w:highlight w:val="white"/>
        </w:rPr>
        <w:t>administrative reasons. The Appendix constitutes part of this Award Agreement.</w:t>
      </w:r>
    </w:p>
    <w:p>
      <w:pPr>
        <w:spacing w:after="0" w:line="134" w:lineRule="exact"/>
        <w:rPr>
          <w:rFonts w:ascii="Arial" w:cs="Arial" w:eastAsia="Arial" w:hAnsi="Arial"/>
          <w:sz w:val="18"/>
          <w:szCs w:val="18"/>
          <w:color w:val="auto"/>
        </w:rPr>
      </w:pPr>
    </w:p>
    <w:p>
      <w:pPr>
        <w:jc w:val="both"/>
        <w:ind w:firstLine="8"/>
        <w:spacing w:after="0" w:line="259" w:lineRule="auto"/>
        <w:tabs>
          <w:tab w:leader="none" w:pos="6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No Advice Regarding Grant. </w:t>
      </w:r>
      <w:r>
        <w:rPr>
          <w:rFonts w:ascii="Arial" w:cs="Arial" w:eastAsia="Arial" w:hAnsi="Arial"/>
          <w:sz w:val="16"/>
          <w:szCs w:val="16"/>
          <w:color w:val="auto"/>
          <w:highlight w:val="white"/>
        </w:rPr>
        <w:t>The Company is not providing any tax, legal or financial advice, nor is the Company making any recommendations</w:t>
      </w:r>
      <w:r>
        <w:rPr>
          <w:rFonts w:ascii="Arial" w:cs="Arial" w:eastAsia="Arial" w:hAnsi="Arial"/>
          <w:sz w:val="16"/>
          <w:szCs w:val="16"/>
          <w:color w:val="auto"/>
        </w:rPr>
        <w:t xml:space="preserve"> </w:t>
      </w:r>
      <w:r>
        <w:rPr>
          <w:rFonts w:ascii="Arial" w:cs="Arial" w:eastAsia="Arial" w:hAnsi="Arial"/>
          <w:sz w:val="16"/>
          <w:szCs w:val="16"/>
          <w:color w:val="auto"/>
          <w:highlight w:val="white"/>
        </w:rPr>
        <w:t>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Restricted Stock Units.</w:t>
      </w:r>
    </w:p>
    <w:p>
      <w:pPr>
        <w:spacing w:after="0" w:line="106" w:lineRule="exact"/>
        <w:rPr>
          <w:rFonts w:ascii="Arial" w:cs="Arial" w:eastAsia="Arial" w:hAnsi="Arial"/>
          <w:sz w:val="16"/>
          <w:szCs w:val="16"/>
          <w:color w:val="auto"/>
        </w:rPr>
      </w:pPr>
    </w:p>
    <w:p>
      <w:pPr>
        <w:jc w:val="both"/>
        <w:ind w:firstLine="8"/>
        <w:spacing w:after="0" w:line="224" w:lineRule="auto"/>
        <w:tabs>
          <w:tab w:leader="none" w:pos="63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in care of its General Counsel at Amkor Technology, Inc., 2045 East Innovation Circle, Tempe, AZ 85284, or at such other address as the Company may hereafter designate in writing.</w:t>
      </w:r>
    </w:p>
    <w:p>
      <w:pPr>
        <w:spacing w:after="0" w:line="122" w:lineRule="exact"/>
        <w:rPr>
          <w:rFonts w:ascii="Arial" w:cs="Arial" w:eastAsia="Arial" w:hAnsi="Arial"/>
          <w:sz w:val="18"/>
          <w:szCs w:val="18"/>
          <w:color w:val="auto"/>
        </w:rPr>
      </w:pPr>
    </w:p>
    <w:p>
      <w:pPr>
        <w:ind w:firstLine="8"/>
        <w:spacing w:after="0" w:line="258" w:lineRule="auto"/>
        <w:tabs>
          <w:tab w:leader="none" w:pos="64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-1714500</wp:posOffset>
            </wp:positionV>
            <wp:extent cx="7123430" cy="3511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234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8"/>
        <w:spacing w:after="0" w:line="244" w:lineRule="auto"/>
        <w:tabs>
          <w:tab w:leader="none" w:pos="643"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Grant is Not Transferable</w:t>
      </w:r>
      <w:r>
        <w:rPr>
          <w:rFonts w:ascii="Arial" w:cs="Arial" w:eastAsia="Arial" w:hAnsi="Arial"/>
          <w:sz w:val="16"/>
          <w:szCs w:val="16"/>
          <w:color w:val="auto"/>
        </w:rPr>
        <w:t>. Except to the limited extent provided in Section 6, the unvested Restricted Stock Units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Restricted Stock Units subject to this grant, or any right or privilege conferred hereby, or upon any attempted sale under any execution, attachment or similar process, this grant and the rights and privileges conferred hereby immediately will become null and void.</w:t>
      </w:r>
    </w:p>
    <w:p>
      <w:pPr>
        <w:spacing w:after="0" w:line="117" w:lineRule="exact"/>
        <w:rPr>
          <w:rFonts w:ascii="Arial" w:cs="Arial" w:eastAsia="Arial" w:hAnsi="Arial"/>
          <w:sz w:val="16"/>
          <w:szCs w:val="16"/>
          <w:color w:val="auto"/>
        </w:rPr>
      </w:pPr>
    </w:p>
    <w:p>
      <w:pPr>
        <w:jc w:val="both"/>
        <w:ind w:firstLine="8"/>
        <w:spacing w:after="0" w:line="224" w:lineRule="auto"/>
        <w:tabs>
          <w:tab w:leader="none" w:pos="64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 (provided that neither the Restricted Stock Units nor this Award Agreement may be assigned by Participant).</w:t>
      </w:r>
    </w:p>
    <w:p>
      <w:pPr>
        <w:spacing w:after="0" w:line="135" w:lineRule="exact"/>
        <w:rPr>
          <w:rFonts w:ascii="Arial" w:cs="Arial" w:eastAsia="Arial" w:hAnsi="Arial"/>
          <w:sz w:val="18"/>
          <w:szCs w:val="18"/>
          <w:color w:val="auto"/>
        </w:rPr>
      </w:pPr>
    </w:p>
    <w:p>
      <w:pPr>
        <w:jc w:val="both"/>
        <w:ind w:firstLine="8"/>
        <w:spacing w:after="0" w:line="221" w:lineRule="auto"/>
        <w:tabs>
          <w:tab w:leader="none" w:pos="64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Additional Conditions</w:t>
      </w:r>
      <w:r>
        <w:rPr>
          <w:rFonts w:ascii="Arial" w:cs="Arial" w:eastAsia="Arial" w:hAnsi="Arial"/>
          <w:sz w:val="17"/>
          <w:szCs w:val="17"/>
          <w:color w:val="auto"/>
        </w:rPr>
        <w:t>. The Company will not be required to issue any certificate or certificates (or evidence of book entry) for Shares hereunder prior to fulfillment of all the following conditions: (a) the admission of such Shares to listing on all stock exchanges on which such class of stock is then listed; (b) the completion of any registration or other qualification of such Shares under any Applicable Laws or under the rulings or regulations of the U.S. Securities and Exchange Commission or any other U.S. or non-U.S. governmental regulatory body, which the Administrator, in its absolute discretion, deems necessary or advisable; (c) the obtaining of any approval or other clearance from any U.S. or non-U.S. governmental agency, which the Administrator, in its absolute discretion, determines to be necessary or advisable; and (d) the lapse of such reasonable period of time following the Date of Grant of the Restricted Stock Units as the Administrator may establish from time to time for reasons of administrative convenience. Participant understands that the Company is under no obligation to register or qualify the Shares subject to the Restricted Stock Units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w:t>
      </w:r>
    </w:p>
    <w:p>
      <w:pPr>
        <w:spacing w:after="0" w:line="126" w:lineRule="exact"/>
        <w:rPr>
          <w:rFonts w:ascii="Arial" w:cs="Arial" w:eastAsia="Arial" w:hAnsi="Arial"/>
          <w:sz w:val="17"/>
          <w:szCs w:val="17"/>
          <w:color w:val="auto"/>
        </w:rPr>
      </w:pPr>
    </w:p>
    <w:p>
      <w:pPr>
        <w:jc w:val="both"/>
        <w:ind w:firstLine="8"/>
        <w:spacing w:after="0" w:line="214" w:lineRule="auto"/>
        <w:tabs>
          <w:tab w:leader="none" w:pos="64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Administrator Authority</w:t>
      </w:r>
      <w:r>
        <w:rPr>
          <w:rFonts w:ascii="Arial" w:cs="Arial" w:eastAsia="Arial" w:hAnsi="Arial"/>
          <w:sz w:val="18"/>
          <w:szCs w:val="18"/>
          <w:color w:val="auto"/>
        </w:rPr>
        <w:t>.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21" w:lineRule="exact"/>
        <w:rPr>
          <w:rFonts w:ascii="Arial" w:cs="Arial" w:eastAsia="Arial" w:hAnsi="Arial"/>
          <w:sz w:val="18"/>
          <w:szCs w:val="18"/>
          <w:color w:val="auto"/>
        </w:rPr>
      </w:pPr>
    </w:p>
    <w:p>
      <w:pPr>
        <w:jc w:val="both"/>
        <w:ind w:firstLine="8"/>
        <w:spacing w:after="0" w:line="219" w:lineRule="auto"/>
        <w:tabs>
          <w:tab w:leader="none" w:pos="64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the Restricted Stock Units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35" w:lineRule="exact"/>
        <w:rPr>
          <w:rFonts w:ascii="Arial" w:cs="Arial" w:eastAsia="Arial" w:hAnsi="Arial"/>
          <w:sz w:val="18"/>
          <w:szCs w:val="18"/>
          <w:color w:val="auto"/>
        </w:rPr>
      </w:pPr>
    </w:p>
    <w:p>
      <w:pPr>
        <w:ind w:firstLine="8"/>
        <w:spacing w:after="0" w:line="235" w:lineRule="auto"/>
        <w:tabs>
          <w:tab w:leader="none" w:pos="64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provided herein are for convenience only and are not to serve as a basis for interpretation or construction of this Award Agreement.</w:t>
      </w:r>
    </w:p>
    <w:p>
      <w:pPr>
        <w:spacing w:after="0" w:line="121" w:lineRule="exact"/>
        <w:rPr>
          <w:rFonts w:ascii="Arial" w:cs="Arial" w:eastAsia="Arial" w:hAnsi="Arial"/>
          <w:sz w:val="18"/>
          <w:szCs w:val="18"/>
          <w:color w:val="auto"/>
        </w:rPr>
      </w:pPr>
    </w:p>
    <w:p>
      <w:pPr>
        <w:ind w:firstLine="8"/>
        <w:spacing w:after="0" w:line="258" w:lineRule="auto"/>
        <w:tabs>
          <w:tab w:leader="none" w:pos="64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spacing w:after="0" w:line="106" w:lineRule="exact"/>
        <w:rPr>
          <w:rFonts w:ascii="Arial" w:cs="Arial" w:eastAsia="Arial" w:hAnsi="Arial"/>
          <w:sz w:val="17"/>
          <w:szCs w:val="17"/>
          <w:color w:val="auto"/>
        </w:rPr>
      </w:pPr>
    </w:p>
    <w:p>
      <w:pPr>
        <w:jc w:val="both"/>
        <w:ind w:firstLine="8"/>
        <w:spacing w:after="0" w:line="219" w:lineRule="auto"/>
        <w:tabs>
          <w:tab w:leader="none" w:pos="64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Modifications to the Award Agreement</w:t>
      </w:r>
      <w:r>
        <w:rPr>
          <w:rFonts w:ascii="Arial" w:cs="Arial" w:eastAsia="Arial" w:hAnsi="Arial"/>
          <w:sz w:val="18"/>
          <w:szCs w:val="18"/>
          <w:color w:val="auto"/>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8"/>
        <w:spacing w:after="0" w:line="223" w:lineRule="auto"/>
        <w:tabs>
          <w:tab w:leader="none" w:pos="643"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The Award Agreement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Award Agreement is subject to Code Section 409A, the Company may, in its sole discretion and without Participant’s prior consent, amend the Plan and/or the Award Agreement, adopt policies and procedures, or take any other actions as deemed appropriate by the Company to (i) exempt the Plan and/or the Award Agreement from the application of Code Section 409A, (ii) preserve the intended tax treatment of the Award Agreement or (iii) comply with the requirements of Code Section 409A. Notwithstanding anything contained herein to the contrary, in no event shall the Company or any Subsidiary have any liability or obligation to any Participant or any other person in the event that the Plan or the Award Agreement is not exempt from, or compliant with, Code Section 409A.</w:t>
      </w:r>
    </w:p>
    <w:p>
      <w:pPr>
        <w:spacing w:after="0" w:line="12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Furthermore, notwithstanding anything in this Agreement to the contrary, any Restricted Stock Units that become vested under this Agreement as of the date or at a time that is by reference to Participant’s termination of service and that constitute an item of non-qualified deferred compensation subject to Code Section 409A shall not be settled unless Participant experiences a “separation from service” within the meaning of Code Section 409A (a “Separation from Service”); provided that if Participant is a “specified employee” within the meaning of Code Section 409A as of the date of the Separation from Service (as determined according to the methodology established by the Company as in effect on the date of Participant’s termination of service), the Restricted Stock Units shall instead be settled on the first business day that is after the earlier of (i) the date that is six months following the date of the Separation from Service or (ii) the date of Participant’s death, to the extent such delayed payment is otherwise required in order to avoid a prohibited distribution under Section 409A(a)(2) of the Code, or any successor provision thereto. Anything in the foregoing notwithstanding, the settlement provisions set forth in any election to defer the settlement of Restricted Stock Units shall supersede the provisions set forth in this paragraph.</w:t>
      </w:r>
    </w:p>
    <w:p>
      <w:pPr>
        <w:spacing w:after="0" w:line="140" w:lineRule="exact"/>
        <w:rPr>
          <w:sz w:val="20"/>
          <w:szCs w:val="20"/>
          <w:color w:val="auto"/>
        </w:rPr>
      </w:pPr>
    </w:p>
    <w:p>
      <w:pPr>
        <w:jc w:val="both"/>
        <w:ind w:firstLine="8"/>
        <w:spacing w:after="0" w:line="224" w:lineRule="auto"/>
        <w:tabs>
          <w:tab w:leader="none" w:pos="64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Effect of Plan</w:t>
      </w:r>
      <w:r>
        <w:rPr>
          <w:rFonts w:ascii="Arial" w:cs="Arial" w:eastAsia="Arial" w:hAnsi="Arial"/>
          <w:sz w:val="18"/>
          <w:szCs w:val="18"/>
          <w:color w:val="auto"/>
        </w:rPr>
        <w:t>. By accepting the Restricted Stock Units, Participant expressly warrants that he or she has received an Award of Restricted Stock Units under the Plan, and has received, read and understands the Plan. Participant understands that the Plan is discretionary in nature and may be amended, suspended or terminated by the Company at any time, to the extent permitted by the Plan.</w:t>
      </w:r>
    </w:p>
    <w:p>
      <w:pPr>
        <w:spacing w:after="0" w:line="122" w:lineRule="exact"/>
        <w:rPr>
          <w:rFonts w:ascii="Arial" w:cs="Arial" w:eastAsia="Arial" w:hAnsi="Arial"/>
          <w:sz w:val="18"/>
          <w:szCs w:val="18"/>
          <w:color w:val="auto"/>
        </w:rPr>
      </w:pPr>
    </w:p>
    <w:p>
      <w:pPr>
        <w:jc w:val="both"/>
        <w:ind w:firstLine="8"/>
        <w:spacing w:after="0" w:line="232" w:lineRule="auto"/>
        <w:tabs>
          <w:tab w:leader="none" w:pos="64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Governing Law; Venue</w:t>
      </w:r>
      <w:r>
        <w:rPr>
          <w:rFonts w:ascii="Arial" w:cs="Arial" w:eastAsia="Arial" w:hAnsi="Arial"/>
          <w:sz w:val="17"/>
          <w:szCs w:val="17"/>
          <w:color w:val="auto"/>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exclusive jurisdiction of the State of Arizona and agree that such litigation will be conducted solely in the courts of Maricopa County, Arizona, or the federal courts for the United States for the District of Arizona in Maricopa County, Arizona, and no other courts.</w:t>
      </w:r>
    </w:p>
    <w:p>
      <w:pPr>
        <w:spacing w:after="0" w:line="121" w:lineRule="exact"/>
        <w:rPr>
          <w:rFonts w:ascii="Arial" w:cs="Arial" w:eastAsia="Arial" w:hAnsi="Arial"/>
          <w:sz w:val="17"/>
          <w:szCs w:val="17"/>
          <w:color w:val="auto"/>
        </w:rPr>
      </w:pPr>
    </w:p>
    <w:p>
      <w:pPr>
        <w:jc w:val="both"/>
        <w:ind w:firstLine="8"/>
        <w:spacing w:after="0" w:line="236" w:lineRule="auto"/>
        <w:tabs>
          <w:tab w:leader="none" w:pos="643"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Insider Trading Restrictions/Market Abuse Laws. By accepting the Restricted Stock Units,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or rights linked to the </w:t>
      </w:r>
      <w:r>
        <w:rPr>
          <w:rFonts w:ascii="Arial" w:cs="Arial" w:eastAsia="Arial" w:hAnsi="Arial"/>
          <w:sz w:val="16"/>
          <w:szCs w:val="16"/>
          <w:color w:val="auto"/>
          <w:highlight w:val="white"/>
        </w:rPr>
        <w:t xml:space="preserve">value of Shares during such times as Participant is considered to have “inside information” regarding the Company (as defined by the laws in the applicable </w:t>
      </w:r>
      <w:r>
        <w:rPr>
          <w:rFonts w:ascii="Arial" w:cs="Arial" w:eastAsia="Arial" w:hAnsi="Arial"/>
          <w:sz w:val="16"/>
          <w:szCs w:val="16"/>
          <w:color w:val="auto"/>
        </w:rPr>
        <w:t xml:space="preserve">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w:t>
      </w:r>
      <w:r>
        <w:rPr>
          <w:rFonts w:ascii="Arial" w:cs="Arial" w:eastAsia="Arial" w:hAnsi="Arial"/>
          <w:sz w:val="16"/>
          <w:szCs w:val="16"/>
          <w:color w:val="auto"/>
          <w:highlight w:val="white"/>
        </w:rPr>
        <w:t>Participant’s responsibility to comply with any applicable restrictions, and Participant should speak to his or her personal advisor on this matter.</w:t>
      </w:r>
    </w:p>
    <w:p>
      <w:pPr>
        <w:spacing w:after="0" w:line="134" w:lineRule="exact"/>
        <w:rPr>
          <w:rFonts w:ascii="Arial" w:cs="Arial" w:eastAsia="Arial" w:hAnsi="Arial"/>
          <w:sz w:val="16"/>
          <w:szCs w:val="16"/>
          <w:color w:val="auto"/>
        </w:rPr>
      </w:pPr>
    </w:p>
    <w:p>
      <w:pPr>
        <w:jc w:val="both"/>
        <w:ind w:firstLine="8"/>
        <w:spacing w:after="0" w:line="216" w:lineRule="auto"/>
        <w:tabs>
          <w:tab w:leader="none" w:pos="6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Agreement. Participant's acceptance of the Restricted Stock Units by signing below or by otherwise accepting the Restricted Stock Units following such procedures as established by the Company (including an online acceptance process) constitute Participant’s agreement to be bound by the terms and conditions of this Award Agreement and the Plan. The Company may refuse to allow Participant to vest in the Restricted Stock Units unless Participant has signed this Award Agreement or otherwise accepted the Restricted Stock Units following such procedures as established by the Company </w:t>
      </w:r>
      <w:r>
        <w:rPr>
          <w:rFonts w:ascii="Arial" w:cs="Arial" w:eastAsia="Arial" w:hAnsi="Arial"/>
          <w:sz w:val="18"/>
          <w:szCs w:val="18"/>
          <w:color w:val="auto"/>
          <w:highlight w:val="white"/>
        </w:rPr>
        <w:t>(including an online acceptance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351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462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23430" cy="3511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234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7"/>
          </w:tcPr>
          <w:p>
            <w:pPr>
              <w:spacing w:after="0"/>
              <w:rPr>
                <w:sz w:val="20"/>
                <w:szCs w:val="20"/>
                <w:color w:val="auto"/>
              </w:rPr>
            </w:pPr>
            <w:r>
              <w:rPr>
                <w:rFonts w:ascii="Arial" w:cs="Arial" w:eastAsia="Arial" w:hAnsi="Arial"/>
                <w:sz w:val="18"/>
                <w:szCs w:val="18"/>
                <w:b w:val="1"/>
                <w:bCs w:val="1"/>
                <w:color w:val="auto"/>
              </w:rPr>
              <w:t>PARTICIPANT</w:t>
            </w:r>
          </w:p>
        </w:tc>
        <w:tc>
          <w:tcPr>
            <w:tcW w:w="4920" w:type="dxa"/>
            <w:vAlign w:val="bottom"/>
            <w:gridSpan w:val="5"/>
          </w:tcPr>
          <w:p>
            <w:pPr>
              <w:ind w:left="2420"/>
              <w:spacing w:after="0"/>
              <w:rPr>
                <w:sz w:val="20"/>
                <w:szCs w:val="20"/>
                <w:color w:val="auto"/>
              </w:rPr>
            </w:pPr>
            <w:r>
              <w:rPr>
                <w:rFonts w:ascii="Arial" w:cs="Arial" w:eastAsia="Arial" w:hAnsi="Arial"/>
                <w:sz w:val="18"/>
                <w:szCs w:val="18"/>
                <w:b w:val="1"/>
                <w:bCs w:val="1"/>
                <w:color w:val="auto"/>
              </w:rPr>
              <w:t>AMKOR TECHNOLOGY, INC.</w:t>
            </w:r>
          </w:p>
        </w:tc>
      </w:tr>
      <w:tr>
        <w:trPr>
          <w:trHeight w:val="499"/>
        </w:trPr>
        <w:tc>
          <w:tcPr>
            <w:tcW w:w="800" w:type="dxa"/>
            <w:vAlign w:val="bottom"/>
          </w:tcPr>
          <w:p>
            <w:pPr>
              <w:spacing w:after="0"/>
              <w:rPr>
                <w:sz w:val="20"/>
                <w:szCs w:val="20"/>
                <w:color w:val="auto"/>
              </w:rPr>
            </w:pPr>
            <w:r>
              <w:rPr>
                <w:rFonts w:ascii="Arial" w:cs="Arial" w:eastAsia="Arial" w:hAnsi="Arial"/>
                <w:sz w:val="18"/>
                <w:szCs w:val="18"/>
                <w:color w:val="auto"/>
                <w:w w:val="95"/>
              </w:rPr>
              <w:t>Signature:</w:t>
            </w:r>
          </w:p>
        </w:tc>
        <w:tc>
          <w:tcPr>
            <w:tcW w:w="180" w:type="dxa"/>
            <w:vAlign w:val="bottom"/>
            <w:tcBorders>
              <w:bottom w:val="single" w:sz="8" w:color="auto"/>
            </w:tcBorders>
            <w:gridSpan w:val="3"/>
          </w:tcPr>
          <w:p>
            <w:pPr>
              <w:spacing w:after="0"/>
              <w:rPr>
                <w:sz w:val="24"/>
                <w:szCs w:val="24"/>
                <w:color w:val="auto"/>
              </w:rPr>
            </w:pPr>
          </w:p>
        </w:tc>
        <w:tc>
          <w:tcPr>
            <w:tcW w:w="2660" w:type="dxa"/>
            <w:vAlign w:val="bottom"/>
            <w:gridSpan w:val="3"/>
          </w:tcPr>
          <w:p>
            <w:pPr>
              <w:spacing w:after="0"/>
              <w:rPr>
                <w:sz w:val="24"/>
                <w:szCs w:val="24"/>
                <w:color w:val="auto"/>
              </w:rPr>
            </w:pPr>
          </w:p>
        </w:tc>
        <w:tc>
          <w:tcPr>
            <w:tcW w:w="2860" w:type="dxa"/>
            <w:vAlign w:val="bottom"/>
          </w:tcPr>
          <w:p>
            <w:pPr>
              <w:ind w:left="2420"/>
              <w:spacing w:after="0"/>
              <w:rPr>
                <w:sz w:val="20"/>
                <w:szCs w:val="20"/>
                <w:color w:val="auto"/>
              </w:rPr>
            </w:pPr>
            <w:r>
              <w:rPr>
                <w:rFonts w:ascii="Arial" w:cs="Arial" w:eastAsia="Arial" w:hAnsi="Arial"/>
                <w:sz w:val="18"/>
                <w:szCs w:val="18"/>
                <w:color w:val="auto"/>
              </w:rPr>
              <w:t>By:</w:t>
            </w:r>
          </w:p>
        </w:tc>
        <w:tc>
          <w:tcPr>
            <w:tcW w:w="180" w:type="dxa"/>
            <w:vAlign w:val="bottom"/>
            <w:tcBorders>
              <w:bottom w:val="single" w:sz="8" w:color="auto"/>
            </w:tcBorders>
            <w:gridSpan w:val="2"/>
          </w:tcPr>
          <w:p>
            <w:pPr>
              <w:spacing w:after="0"/>
              <w:rPr>
                <w:sz w:val="24"/>
                <w:szCs w:val="24"/>
                <w:color w:val="auto"/>
              </w:rPr>
            </w:pPr>
          </w:p>
        </w:tc>
        <w:tc>
          <w:tcPr>
            <w:tcW w:w="1880" w:type="dxa"/>
            <w:vAlign w:val="bottom"/>
            <w:gridSpan w:val="2"/>
          </w:tcPr>
          <w:p>
            <w:pPr>
              <w:spacing w:after="0"/>
              <w:rPr>
                <w:sz w:val="24"/>
                <w:szCs w:val="24"/>
                <w:color w:val="auto"/>
              </w:rPr>
            </w:pPr>
          </w:p>
        </w:tc>
      </w:tr>
      <w:tr>
        <w:trPr>
          <w:trHeight w:val="331"/>
        </w:trPr>
        <w:tc>
          <w:tcPr>
            <w:tcW w:w="920" w:type="dxa"/>
            <w:vAlign w:val="bottom"/>
            <w:gridSpan w:val="3"/>
          </w:tcPr>
          <w:p>
            <w:pPr>
              <w:spacing w:after="0"/>
              <w:rPr>
                <w:sz w:val="20"/>
                <w:szCs w:val="20"/>
                <w:color w:val="auto"/>
              </w:rPr>
            </w:pPr>
            <w:r>
              <w:rPr>
                <w:rFonts w:ascii="Arial" w:cs="Arial" w:eastAsia="Arial" w:hAnsi="Arial"/>
                <w:sz w:val="18"/>
                <w:szCs w:val="18"/>
                <w:color w:val="auto"/>
                <w:w w:val="94"/>
              </w:rPr>
              <w:t>Print Name:</w:t>
            </w:r>
          </w:p>
        </w:tc>
        <w:tc>
          <w:tcPr>
            <w:tcW w:w="180" w:type="dxa"/>
            <w:vAlign w:val="bottom"/>
            <w:tcBorders>
              <w:bottom w:val="single" w:sz="8" w:color="auto"/>
            </w:tcBorders>
            <w:gridSpan w:val="3"/>
          </w:tcPr>
          <w:p>
            <w:pPr>
              <w:spacing w:after="0"/>
              <w:rPr>
                <w:sz w:val="24"/>
                <w:szCs w:val="24"/>
                <w:color w:val="auto"/>
              </w:rPr>
            </w:pPr>
          </w:p>
        </w:tc>
        <w:tc>
          <w:tcPr>
            <w:tcW w:w="2540" w:type="dxa"/>
            <w:vAlign w:val="bottom"/>
          </w:tcPr>
          <w:p>
            <w:pPr>
              <w:spacing w:after="0"/>
              <w:rPr>
                <w:sz w:val="24"/>
                <w:szCs w:val="24"/>
                <w:color w:val="auto"/>
              </w:rPr>
            </w:pPr>
          </w:p>
        </w:tc>
        <w:tc>
          <w:tcPr>
            <w:tcW w:w="2980" w:type="dxa"/>
            <w:vAlign w:val="bottom"/>
            <w:gridSpan w:val="2"/>
          </w:tcPr>
          <w:p>
            <w:pPr>
              <w:ind w:left="2420"/>
              <w:spacing w:after="0"/>
              <w:rPr>
                <w:sz w:val="20"/>
                <w:szCs w:val="20"/>
                <w:color w:val="auto"/>
              </w:rPr>
            </w:pPr>
            <w:r>
              <w:rPr>
                <w:rFonts w:ascii="Arial" w:cs="Arial" w:eastAsia="Arial" w:hAnsi="Arial"/>
                <w:sz w:val="18"/>
                <w:szCs w:val="18"/>
                <w:color w:val="auto"/>
              </w:rPr>
              <w:t>Title:</w:t>
            </w:r>
          </w:p>
        </w:tc>
        <w:tc>
          <w:tcPr>
            <w:tcW w:w="180" w:type="dxa"/>
            <w:vAlign w:val="bottom"/>
            <w:tcBorders>
              <w:bottom w:val="single" w:sz="8" w:color="auto"/>
            </w:tcBorders>
            <w:gridSpan w:val="2"/>
          </w:tcPr>
          <w:p>
            <w:pPr>
              <w:spacing w:after="0"/>
              <w:rPr>
                <w:sz w:val="24"/>
                <w:szCs w:val="24"/>
                <w:color w:val="auto"/>
              </w:rPr>
            </w:pPr>
          </w:p>
        </w:tc>
        <w:tc>
          <w:tcPr>
            <w:tcW w:w="1760" w:type="dxa"/>
            <w:vAlign w:val="bottom"/>
          </w:tcPr>
          <w:p>
            <w:pPr>
              <w:spacing w:after="0"/>
              <w:rPr>
                <w:sz w:val="24"/>
                <w:szCs w:val="24"/>
                <w:color w:val="auto"/>
              </w:rPr>
            </w:pPr>
          </w:p>
        </w:tc>
      </w:tr>
      <w:tr>
        <w:trPr>
          <w:trHeight w:val="331"/>
        </w:trPr>
        <w:tc>
          <w:tcPr>
            <w:tcW w:w="8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80" w:type="dxa"/>
            <w:vAlign w:val="bottom"/>
            <w:tcBorders>
              <w:bottom w:val="single" w:sz="8" w:color="auto"/>
            </w:tcBorders>
            <w:gridSpan w:val="3"/>
          </w:tcPr>
          <w:p>
            <w:pPr>
              <w:spacing w:after="0"/>
              <w:rPr>
                <w:sz w:val="24"/>
                <w:szCs w:val="24"/>
                <w:color w:val="auto"/>
              </w:rPr>
            </w:pPr>
          </w:p>
        </w:tc>
        <w:tc>
          <w:tcPr>
            <w:tcW w:w="2640" w:type="dxa"/>
            <w:vAlign w:val="bottom"/>
            <w:gridSpan w:val="2"/>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19"/>
          </w:cols>
          <w:pgMar w:left="340" w:top="1440" w:right="1440"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NON-EMPLOYEE DIRECTOR RESTRICTED STOCK UNIT AWARD AGREEMENT</w:t>
      </w:r>
    </w:p>
    <w:p>
      <w:pPr>
        <w:spacing w:after="0" w:line="27"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Capitalized terms used but not defined in this Appendix shall have the same meanings assigned to them in the Plan and/or the Global Non-Employee Director Restricted Stock Unit Award Agreement.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5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This Appendix includes general terms and conditions for all non-U.S. Participants and additional terms and conditions that govern the Restricted Stock Units if Participant resides in one of the countries listed below. If Participant is a citizen or resident of a country other than the one in which Participant is currently residing (or is considered as such for local law purposes), or if Participant transfers residency to a different country after the Restricted Stock Units are granted, the Company will, in its discretion, determine the extent to which the terms and conditions contained herein will apply to Participant.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Notifications</w:t>
      </w:r>
    </w:p>
    <w:p>
      <w:pPr>
        <w:spacing w:after="0" w:line="25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This Appendix also includes information regarding certain other issues of which Participant should be aware with respect to Participant’s participation in the Plan. The information is based on the securities, exchange control and other laws in effect in the respective countries as of December 2021. Such laws are often complex and change frequently. As a result, Participant should not rely on the information noted herein as the only source of information relating to the consequences of participation in the Plan because the information may be out-of-date at the time the Restricted Stock Units vest or Participant sells any Shares acquired under the Plan.</w:t>
      </w:r>
    </w:p>
    <w:p>
      <w:pPr>
        <w:spacing w:after="0" w:line="18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spacing w:after="0" w:line="19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If Participant is a citizen or resident of a country other than the one in which Participant is currently residing (or is considered as such for local law purposes), or if Participant transfers residency to a different country after the Restricted Stock Units are granted, the information contained in this Appendix may not be applicable to Participant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auto"/>
        </w:rPr>
        <w:t>GENERAL TERMS AND CONDITIONS APPLICABLE TO ALL NON-U.S. PARTICIPANTS</w:t>
      </w:r>
    </w:p>
    <w:p>
      <w:pPr>
        <w:spacing w:after="0" w:line="28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i w:val="1"/>
          <w:iCs w:val="1"/>
          <w:color w:val="auto"/>
        </w:rPr>
      </w:pPr>
      <w:r>
        <w:rPr>
          <w:rFonts w:ascii="Arial" w:cs="Arial" w:eastAsia="Arial" w:hAnsi="Arial"/>
          <w:sz w:val="18"/>
          <w:szCs w:val="18"/>
          <w:b w:val="1"/>
          <w:bCs w:val="1"/>
          <w:i w:val="1"/>
          <w:iCs w:val="1"/>
          <w:u w:val="single" w:color="auto"/>
          <w:color w:val="auto"/>
        </w:rPr>
        <w:t>Data Privacy Information and Consent</w:t>
      </w:r>
      <w:r>
        <w:rPr>
          <w:rFonts w:ascii="Arial" w:cs="Arial" w:eastAsia="Arial" w:hAnsi="Arial"/>
          <w:sz w:val="18"/>
          <w:szCs w:val="18"/>
          <w:b w:val="1"/>
          <w:bCs w:val="1"/>
          <w:i w:val="1"/>
          <w:iCs w:val="1"/>
          <w:color w:val="auto"/>
        </w:rPr>
        <w:t>.</w:t>
      </w:r>
    </w:p>
    <w:p>
      <w:pPr>
        <w:spacing w:after="0" w:line="252" w:lineRule="exact"/>
        <w:rPr>
          <w:rFonts w:ascii="Arial" w:cs="Arial" w:eastAsia="Arial" w:hAnsi="Arial"/>
          <w:sz w:val="18"/>
          <w:szCs w:val="18"/>
          <w:i w:val="1"/>
          <w:iCs w:val="1"/>
          <w:color w:val="auto"/>
        </w:rPr>
      </w:pPr>
    </w:p>
    <w:p>
      <w:pPr>
        <w:jc w:val="both"/>
        <w:ind w:firstLine="980"/>
        <w:spacing w:after="0" w:line="244" w:lineRule="auto"/>
        <w:tabs>
          <w:tab w:leader="none" w:pos="1290" w:val="left"/>
        </w:tabs>
        <w:numPr>
          <w:ilvl w:val="2"/>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The Company collects, processes and uses certain personal information about Participant, including, but not limited to, Participant’s name, home address, telephone number, email address, date of birth, social insurance number, passport or other identification number,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spacing w:after="0" w:line="185" w:lineRule="exact"/>
        <w:rPr>
          <w:rFonts w:ascii="Arial" w:cs="Arial" w:eastAsia="Arial" w:hAnsi="Arial"/>
          <w:sz w:val="16"/>
          <w:szCs w:val="16"/>
          <w:b w:val="1"/>
          <w:bCs w:val="1"/>
          <w:i w:val="1"/>
          <w:iCs w:val="1"/>
          <w:color w:val="auto"/>
        </w:rPr>
      </w:pPr>
    </w:p>
    <w:p>
      <w:pPr>
        <w:jc w:val="both"/>
        <w:ind w:firstLine="980"/>
        <w:spacing w:after="0" w:line="228" w:lineRule="auto"/>
        <w:tabs>
          <w:tab w:leader="none" w:pos="1290" w:val="left"/>
        </w:tabs>
        <w:numPr>
          <w:ilvl w:val="2"/>
          <w:numId w:val="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Stock Plan Administration Service Providers</w:t>
      </w:r>
      <w:r>
        <w:rPr>
          <w:rFonts w:ascii="Arial" w:cs="Arial" w:eastAsia="Arial" w:hAnsi="Arial"/>
          <w:sz w:val="17"/>
          <w:szCs w:val="17"/>
          <w:b w:val="1"/>
          <w:bCs w:val="1"/>
          <w:i w:val="1"/>
          <w:iCs w:val="1"/>
          <w:color w:val="auto"/>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spacing w:after="0" w:line="192" w:lineRule="exact"/>
        <w:rPr>
          <w:rFonts w:ascii="Arial" w:cs="Arial" w:eastAsia="Arial" w:hAnsi="Arial"/>
          <w:sz w:val="17"/>
          <w:szCs w:val="17"/>
          <w:b w:val="1"/>
          <w:bCs w:val="1"/>
          <w:i w:val="1"/>
          <w:iCs w:val="1"/>
          <w:color w:val="auto"/>
        </w:rPr>
      </w:pPr>
    </w:p>
    <w:p>
      <w:pPr>
        <w:jc w:val="both"/>
        <w:ind w:firstLine="885"/>
        <w:spacing w:after="0" w:line="237" w:lineRule="auto"/>
        <w:tabs>
          <w:tab w:leader="none" w:pos="1293" w:val="left"/>
        </w:tabs>
        <w:numPr>
          <w:ilvl w:val="1"/>
          <w:numId w:val="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International Data Transfers</w:t>
      </w:r>
      <w:r>
        <w:rPr>
          <w:rFonts w:ascii="Arial" w:cs="Arial" w:eastAsia="Arial" w:hAnsi="Arial"/>
          <w:sz w:val="17"/>
          <w:szCs w:val="17"/>
          <w:b w:val="1"/>
          <w:bCs w:val="1"/>
          <w:i w:val="1"/>
          <w:iCs w:val="1"/>
          <w:color w:val="auto"/>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spacing w:after="0" w:line="190" w:lineRule="exact"/>
        <w:rPr>
          <w:rFonts w:ascii="Arial" w:cs="Arial" w:eastAsia="Arial" w:hAnsi="Arial"/>
          <w:sz w:val="17"/>
          <w:szCs w:val="17"/>
          <w:b w:val="1"/>
          <w:bCs w:val="1"/>
          <w:i w:val="1"/>
          <w:iCs w:val="1"/>
          <w:color w:val="auto"/>
        </w:rPr>
      </w:pPr>
    </w:p>
    <w:p>
      <w:pPr>
        <w:jc w:val="both"/>
        <w:ind w:firstLine="980"/>
        <w:spacing w:after="0" w:line="271" w:lineRule="auto"/>
        <w:tabs>
          <w:tab w:leader="none" w:pos="1290" w:val="left"/>
        </w:tabs>
        <w:numPr>
          <w:ilvl w:val="2"/>
          <w:numId w:val="5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period as a Director. When the Company no longer needs Data for any of the above purposes, the Company will cease processing it in this context and remove it from all of its systems used for such purposes to the fullest extent practicable.</w:t>
      </w:r>
    </w:p>
    <w:p>
      <w:pPr>
        <w:spacing w:after="0" w:line="165" w:lineRule="exact"/>
        <w:rPr>
          <w:rFonts w:ascii="Arial" w:cs="Arial" w:eastAsia="Arial" w:hAnsi="Arial"/>
          <w:sz w:val="15"/>
          <w:szCs w:val="15"/>
          <w:b w:val="1"/>
          <w:bCs w:val="1"/>
          <w:i w:val="1"/>
          <w:iCs w:val="1"/>
          <w:color w:val="auto"/>
        </w:rPr>
      </w:pPr>
    </w:p>
    <w:p>
      <w:pPr>
        <w:jc w:val="both"/>
        <w:ind w:firstLine="980"/>
        <w:spacing w:after="0" w:line="249" w:lineRule="auto"/>
        <w:tabs>
          <w:tab w:leader="none" w:pos="1293" w:val="left"/>
        </w:tabs>
        <w:numPr>
          <w:ilvl w:val="2"/>
          <w:numId w:val="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Participation in the Plan is voluntary and Participant is providing the consents herein on a purely voluntary basis. If Participant does not consent, or if Participant later seeks to revoke his or her consent, Participant’s status as a Director will not be affected; the only consequence of refusing or withdrawing consent is that the Company would not be able to grant the Restricted Stock Units or other equity awards to Participant under the Plan or administer or maintain such awards.</w:t>
      </w:r>
    </w:p>
    <w:p>
      <w:pPr>
        <w:spacing w:after="0" w:line="181" w:lineRule="exact"/>
        <w:rPr>
          <w:rFonts w:ascii="Arial" w:cs="Arial" w:eastAsia="Arial" w:hAnsi="Arial"/>
          <w:sz w:val="16"/>
          <w:szCs w:val="16"/>
          <w:b w:val="1"/>
          <w:bCs w:val="1"/>
          <w:i w:val="1"/>
          <w:iCs w:val="1"/>
          <w:color w:val="auto"/>
        </w:rPr>
      </w:pPr>
    </w:p>
    <w:p>
      <w:pPr>
        <w:jc w:val="both"/>
        <w:ind w:firstLine="980"/>
        <w:spacing w:after="0" w:line="228" w:lineRule="auto"/>
        <w:tabs>
          <w:tab w:leader="none" w:pos="1287" w:val="left"/>
        </w:tabs>
        <w:numPr>
          <w:ilvl w:val="2"/>
          <w:numId w:val="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Data Subject Rights.</w:t>
      </w:r>
      <w:r>
        <w:rPr>
          <w:rFonts w:ascii="Arial" w:cs="Arial" w:eastAsia="Arial" w:hAnsi="Arial"/>
          <w:sz w:val="17"/>
          <w:szCs w:val="17"/>
          <w:b w:val="1"/>
          <w:bCs w:val="1"/>
          <w:i w:val="1"/>
          <w:iCs w:val="1"/>
          <w:color w:val="auto"/>
        </w:rPr>
        <w:t xml:space="preserve">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the Company.</w:t>
      </w:r>
    </w:p>
    <w:p>
      <w:pPr>
        <w:spacing w:after="0" w:line="192" w:lineRule="exact"/>
        <w:rPr>
          <w:sz w:val="20"/>
          <w:szCs w:val="20"/>
          <w:color w:val="auto"/>
        </w:rPr>
      </w:pPr>
    </w:p>
    <w:p>
      <w:pPr>
        <w:jc w:val="both"/>
        <w:ind w:firstLine="885"/>
        <w:spacing w:after="0" w:line="226" w:lineRule="auto"/>
        <w:tabs>
          <w:tab w:leader="none" w:pos="1290" w:val="left"/>
        </w:tabs>
        <w:numPr>
          <w:ilvl w:val="1"/>
          <w:numId w:val="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Other Legal Basis and Additional Consent</w:t>
      </w:r>
      <w:r>
        <w:rPr>
          <w:rFonts w:ascii="Arial" w:cs="Arial" w:eastAsia="Arial" w:hAnsi="Arial"/>
          <w:sz w:val="17"/>
          <w:szCs w:val="17"/>
          <w:b w:val="1"/>
          <w:bCs w:val="1"/>
          <w:i w:val="1"/>
          <w:iCs w:val="1"/>
          <w:color w:val="auto"/>
        </w:rPr>
        <w:t>. Participant understands that the Company may rely on a different legal basis for the collection, processing or transfer of Data in the future and/or request Participant to provide another data privacy consent. If applicable, upon request of the Company, Participant will provide a separate executed data privacy agreement (or any other agreements or consents) that the Company may deem necessary to obtain from Participant for the purpose of 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w:t>
      </w:r>
    </w:p>
    <w:p>
      <w:pPr>
        <w:spacing w:after="0" w:line="218"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By accepting the Restricted Stock Units, Participant acknowledges, understands, and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31" w:right="339" w:bottom="1440" w:gutter="0" w:footer="0" w:header="0"/>
        </w:sectPr>
      </w:pPr>
    </w:p>
    <w:bookmarkStart w:id="109" w:name="page110"/>
    <w:bookmarkEnd w:id="109"/>
    <w:p>
      <w:pPr>
        <w:ind w:right="20" w:firstLine="885"/>
        <w:spacing w:after="0" w:line="235" w:lineRule="auto"/>
        <w:tabs>
          <w:tab w:leader="none" w:pos="12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88" w:lineRule="exact"/>
        <w:rPr>
          <w:rFonts w:ascii="Arial" w:cs="Arial" w:eastAsia="Arial" w:hAnsi="Arial"/>
          <w:sz w:val="18"/>
          <w:szCs w:val="18"/>
          <w:color w:val="auto"/>
        </w:rPr>
      </w:pPr>
    </w:p>
    <w:p>
      <w:pPr>
        <w:ind w:right="20" w:firstLine="885"/>
        <w:spacing w:after="0" w:line="258" w:lineRule="auto"/>
        <w:tabs>
          <w:tab w:leader="none" w:pos="12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73" w:lineRule="exact"/>
        <w:rPr>
          <w:rFonts w:ascii="Arial" w:cs="Arial" w:eastAsia="Arial" w:hAnsi="Arial"/>
          <w:sz w:val="17"/>
          <w:szCs w:val="17"/>
          <w:color w:val="auto"/>
        </w:rPr>
      </w:pPr>
    </w:p>
    <w:p>
      <w:pPr>
        <w:ind w:left="1300" w:hanging="415"/>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decisions with respect to future restricted stock unit or other grants, if any, will be at the sole discretion of the Company;</w:t>
      </w:r>
    </w:p>
    <w:p>
      <w:pPr>
        <w:spacing w:after="0" w:line="211" w:lineRule="exact"/>
        <w:rPr>
          <w:rFonts w:ascii="Arial" w:cs="Arial" w:eastAsia="Arial" w:hAnsi="Arial"/>
          <w:sz w:val="18"/>
          <w:szCs w:val="18"/>
          <w:color w:val="auto"/>
        </w:rPr>
      </w:pPr>
    </w:p>
    <w:p>
      <w:pPr>
        <w:ind w:left="1300" w:hanging="415"/>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11" w:lineRule="exact"/>
        <w:rPr>
          <w:rFonts w:ascii="Arial" w:cs="Arial" w:eastAsia="Arial" w:hAnsi="Arial"/>
          <w:sz w:val="18"/>
          <w:szCs w:val="18"/>
          <w:color w:val="auto"/>
        </w:rPr>
      </w:pPr>
    </w:p>
    <w:p>
      <w:pPr>
        <w:ind w:left="1300" w:hanging="415"/>
        <w:spacing w:after="0"/>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future value of the Shares underlying the Restricted Stock Units is unknown, indeterminable, and cannot be predicted with certainty;</w:t>
      </w:r>
    </w:p>
    <w:p>
      <w:pPr>
        <w:spacing w:after="0" w:line="234" w:lineRule="exact"/>
        <w:rPr>
          <w:rFonts w:ascii="Arial" w:cs="Arial" w:eastAsia="Arial" w:hAnsi="Arial"/>
          <w:sz w:val="16"/>
          <w:szCs w:val="16"/>
          <w:color w:val="auto"/>
        </w:rPr>
      </w:pPr>
    </w:p>
    <w:p>
      <w:pPr>
        <w:ind w:firstLine="885"/>
        <w:spacing w:after="0" w:line="235" w:lineRule="auto"/>
        <w:tabs>
          <w:tab w:leader="none" w:pos="1287"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Stock Units resulting from the termination of Participant’s status as a Director;</w:t>
      </w:r>
    </w:p>
    <w:p>
      <w:pPr>
        <w:spacing w:after="0" w:line="188" w:lineRule="exact"/>
        <w:rPr>
          <w:rFonts w:ascii="Arial" w:cs="Arial" w:eastAsia="Arial" w:hAnsi="Arial"/>
          <w:sz w:val="18"/>
          <w:szCs w:val="18"/>
          <w:color w:val="auto"/>
        </w:rPr>
      </w:pPr>
    </w:p>
    <w:p>
      <w:pPr>
        <w:jc w:val="both"/>
        <w:ind w:firstLine="885"/>
        <w:spacing w:after="0" w:line="237" w:lineRule="auto"/>
        <w:tabs>
          <w:tab w:leader="none" w:pos="12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190" w:lineRule="exact"/>
        <w:rPr>
          <w:rFonts w:ascii="Arial" w:cs="Arial" w:eastAsia="Arial" w:hAnsi="Arial"/>
          <w:sz w:val="17"/>
          <w:szCs w:val="17"/>
          <w:color w:val="auto"/>
        </w:rPr>
      </w:pPr>
    </w:p>
    <w:p>
      <w:pPr>
        <w:jc w:val="both"/>
        <w:ind w:firstLine="885"/>
        <w:spacing w:after="0" w:line="224" w:lineRule="auto"/>
        <w:tabs>
          <w:tab w:leader="none" w:pos="12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neither the Company nor any other Subsidiary shall be liable for any foreign exchange rate fluctuation between Participant’s local currency and the U.S. dollar that may affect the value of the Restricted Stock Units or of any amounts due to Participant pursuant to the Restricted Stock Units or the subsequent sale of any Shares subject to the Restricted Stock Units.</w:t>
      </w:r>
    </w:p>
    <w:p>
      <w:pPr>
        <w:spacing w:after="0" w:line="189" w:lineRule="exact"/>
        <w:rPr>
          <w:rFonts w:ascii="Arial" w:cs="Arial" w:eastAsia="Arial" w:hAnsi="Arial"/>
          <w:sz w:val="18"/>
          <w:szCs w:val="18"/>
          <w:color w:val="auto"/>
        </w:rPr>
      </w:pPr>
    </w:p>
    <w:p>
      <w:pPr>
        <w:jc w:val="both"/>
        <w:ind w:firstLine="332"/>
        <w:spacing w:after="0" w:line="219"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Restricted Stock Units and/or the Plan translated into a language other than English and if the meaning of the translated version is different than the English version, the English version will control.</w:t>
      </w:r>
    </w:p>
    <w:p>
      <w:pPr>
        <w:spacing w:after="0" w:line="189" w:lineRule="exact"/>
        <w:rPr>
          <w:rFonts w:ascii="Arial" w:cs="Arial" w:eastAsia="Arial" w:hAnsi="Arial"/>
          <w:sz w:val="18"/>
          <w:szCs w:val="18"/>
          <w:color w:val="auto"/>
        </w:rPr>
      </w:pPr>
    </w:p>
    <w:p>
      <w:pPr>
        <w:jc w:val="both"/>
        <w:ind w:firstLine="332"/>
        <w:spacing w:after="0" w:line="225" w:lineRule="auto"/>
        <w:tabs>
          <w:tab w:leader="none" w:pos="64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Foreign Asset/Account, Exchange Control and Tax Reporting</w:t>
      </w:r>
      <w:r>
        <w:rPr>
          <w:rFonts w:ascii="Arial" w:cs="Arial" w:eastAsia="Arial" w:hAnsi="Arial"/>
          <w:sz w:val="17"/>
          <w:szCs w:val="17"/>
          <w:color w:val="auto"/>
        </w:rPr>
        <w:t>. Participant may be subject to foreign asset/account, exchange control, tax reporting or other requirements which may affect Participant’s ability acquire or hold Restricted Stock Units, Shares or cash received from participating in the Plan (including dividends and the proceeds arising from the sale of Shares) in a brokerage/bank account outside Participant’s country. The Applicable Laws of Participant’s country may require that he or she report such Restricted Stock Units,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TERMS AND CONDITIONS FOR CERTAIN COUNTRIES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offer of participation in the Plan is available only for Service Providers. The offer of participation in the Plan is not a public offer of securities by a Taiwanese company.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Participant may acquire and remit foreign currency (including funds for the purchase of Shares and proceeds from the sale of Shares) up to US $5,000,000 per year without justification. If the transaction amount is TWD 500,000 or more in a single transaction, Participant must submit a Foreign Exchange Transaction Form. If the transaction amount is US $500,000 or more in a single transaction, Participant must also provide supporting documentation to the satisfaction of the remitting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8"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Exhibit 10.36</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AMENDMENT ONE</w:t>
      </w:r>
    </w:p>
    <w:p>
      <w:pPr>
        <w:ind w:left="5240"/>
        <w:spacing w:after="0" w:line="197" w:lineRule="auto"/>
        <w:rPr>
          <w:sz w:val="20"/>
          <w:szCs w:val="20"/>
          <w:color w:val="auto"/>
        </w:rPr>
      </w:pPr>
      <w:r>
        <w:rPr>
          <w:rFonts w:ascii="Arial" w:cs="Arial" w:eastAsia="Arial" w:hAnsi="Arial"/>
          <w:sz w:val="20"/>
          <w:szCs w:val="20"/>
          <w:b w:val="1"/>
          <w:bCs w:val="1"/>
          <w:color w:val="auto"/>
        </w:rPr>
        <w:t>TO THE</w:t>
      </w:r>
    </w:p>
    <w:p>
      <w:pPr>
        <w:jc w:val="center"/>
        <w:spacing w:after="0" w:line="197" w:lineRule="auto"/>
        <w:rPr>
          <w:sz w:val="20"/>
          <w:szCs w:val="20"/>
          <w:color w:val="auto"/>
        </w:rPr>
      </w:pPr>
      <w:r>
        <w:rPr>
          <w:rFonts w:ascii="Arial" w:cs="Arial" w:eastAsia="Arial" w:hAnsi="Arial"/>
          <w:sz w:val="20"/>
          <w:szCs w:val="20"/>
          <w:b w:val="1"/>
          <w:bCs w:val="1"/>
          <w:color w:val="auto"/>
        </w:rPr>
        <w:t>AMKOR TECHNOLOGY, INC.</w:t>
      </w:r>
    </w:p>
    <w:p>
      <w:pPr>
        <w:jc w:val="center"/>
        <w:spacing w:after="0"/>
        <w:rPr>
          <w:sz w:val="20"/>
          <w:szCs w:val="20"/>
          <w:color w:val="auto"/>
        </w:rPr>
      </w:pPr>
      <w:r>
        <w:rPr>
          <w:rFonts w:ascii="Arial" w:cs="Arial" w:eastAsia="Arial" w:hAnsi="Arial"/>
          <w:sz w:val="20"/>
          <w:szCs w:val="20"/>
          <w:b w:val="1"/>
          <w:bCs w:val="1"/>
          <w:color w:val="auto"/>
        </w:rPr>
        <w:t>2021 EQUITY INCENTIVE PLAN</w:t>
      </w: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Pursuant to the authority reserved to it in Section 22 of the Amkor Technology, Inc. 2021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Amkor Technology, Inc. (the “</w:t>
      </w:r>
      <w:r>
        <w:rPr>
          <w:rFonts w:ascii="Arial" w:cs="Arial" w:eastAsia="Arial" w:hAnsi="Arial"/>
          <w:sz w:val="20"/>
          <w:szCs w:val="20"/>
          <w:b w:val="1"/>
          <w:bCs w:val="1"/>
          <w:color w:val="auto"/>
        </w:rPr>
        <w:t>Company</w:t>
      </w:r>
      <w:r>
        <w:rPr>
          <w:rFonts w:ascii="Arial" w:cs="Arial" w:eastAsia="Arial" w:hAnsi="Arial"/>
          <w:sz w:val="20"/>
          <w:szCs w:val="20"/>
          <w:color w:val="auto"/>
        </w:rPr>
        <w:t>”) hereby amends the Plan as follows, effective February 8, 2022:</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12 of the Plan is hereby amended in its entirety to read as follows:</w:t>
      </w:r>
    </w:p>
    <w:p>
      <w:pPr>
        <w:spacing w:after="0" w:line="351" w:lineRule="exact"/>
        <w:rPr>
          <w:sz w:val="20"/>
          <w:szCs w:val="20"/>
          <w:color w:val="auto"/>
        </w:rPr>
      </w:pPr>
    </w:p>
    <w:p>
      <w:pPr>
        <w:jc w:val="both"/>
        <w:ind w:firstLine="656"/>
        <w:spacing w:after="0" w:line="259" w:lineRule="auto"/>
        <w:tabs>
          <w:tab w:leader="none" w:pos="115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Grants to Non-Employee Directors</w:t>
      </w:r>
      <w:r>
        <w:rPr>
          <w:rFonts w:ascii="Arial" w:cs="Arial" w:eastAsia="Arial" w:hAnsi="Arial"/>
          <w:sz w:val="19"/>
          <w:szCs w:val="19"/>
          <w:color w:val="auto"/>
        </w:rPr>
        <w:t>. The Administrator may grant Awards to Non-Employee Directors pursuant to the terms of a director compensation policy adopted by the Board, as amended from time to time. In no event may any Non-Employee Director be awarded compensation by the Company for service as a Non-Employee Director with a total value of more than $750,000 in any given fiscal year, which such amount to include the sum of (i) cash compensation and (ii) the grant date fair value of equity compensation awarded to the Non-Employee Director, provided, however, that the limitation contained herein will not apply to the extent a Non-Employee Director has been or becomes an employee of the Company during such fiscal year.</w:t>
      </w:r>
    </w:p>
    <w:p>
      <w:pPr>
        <w:sectPr>
          <w:pgSz w:w="11900" w:h="16838" w:orient="portrait"/>
          <w:cols w:equalWidth="0" w:num="1">
            <w:col w:w="11240"/>
          </w:cols>
          <w:pgMar w:left="320" w:top="141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ind w:left="2000"/>
              <w:spacing w:after="0"/>
              <w:rPr>
                <w:sz w:val="20"/>
                <w:szCs w:val="20"/>
                <w:color w:val="auto"/>
              </w:rPr>
            </w:pPr>
            <w:r>
              <w:rPr>
                <w:rFonts w:ascii="Arial" w:cs="Arial" w:eastAsia="Arial" w:hAnsi="Arial"/>
                <w:sz w:val="18"/>
                <w:szCs w:val="18"/>
                <w:b w:val="1"/>
                <w:bCs w:val="1"/>
                <w:color w:val="auto"/>
                <w:w w:val="89"/>
              </w:rPr>
              <w:t>Exhibit 21.1</w:t>
            </w:r>
          </w:p>
        </w:tc>
      </w:tr>
      <w:tr>
        <w:trPr>
          <w:trHeight w:val="553"/>
        </w:trPr>
        <w:tc>
          <w:tcPr>
            <w:tcW w:w="8320" w:type="dxa"/>
            <w:vAlign w:val="bottom"/>
            <w:gridSpan w:val="2"/>
          </w:tcPr>
          <w:p>
            <w:pPr>
              <w:ind w:left="4360"/>
              <w:spacing w:after="0"/>
              <w:rPr>
                <w:sz w:val="20"/>
                <w:szCs w:val="20"/>
                <w:color w:val="auto"/>
              </w:rPr>
            </w:pPr>
            <w:r>
              <w:rPr>
                <w:rFonts w:ascii="Arial" w:cs="Arial" w:eastAsia="Arial" w:hAnsi="Arial"/>
                <w:sz w:val="18"/>
                <w:szCs w:val="18"/>
                <w:b w:val="1"/>
                <w:bCs w:val="1"/>
                <w:color w:val="auto"/>
              </w:rPr>
              <w:t>AMKOR TECHNOLOGY, INC.</w:t>
            </w:r>
          </w:p>
        </w:tc>
        <w:tc>
          <w:tcPr>
            <w:tcW w:w="2920" w:type="dxa"/>
            <w:vAlign w:val="bottom"/>
          </w:tcPr>
          <w:p>
            <w:pPr>
              <w:spacing w:after="0"/>
              <w:rPr>
                <w:sz w:val="24"/>
                <w:szCs w:val="24"/>
                <w:color w:val="auto"/>
              </w:rPr>
            </w:pPr>
          </w:p>
        </w:tc>
      </w:tr>
      <w:tr>
        <w:trPr>
          <w:trHeight w:val="351"/>
        </w:trPr>
        <w:tc>
          <w:tcPr>
            <w:tcW w:w="8320" w:type="dxa"/>
            <w:vAlign w:val="bottom"/>
            <w:gridSpan w:val="2"/>
          </w:tcPr>
          <w:p>
            <w:pPr>
              <w:ind w:left="4620"/>
              <w:spacing w:after="0"/>
              <w:rPr>
                <w:sz w:val="20"/>
                <w:szCs w:val="20"/>
                <w:color w:val="auto"/>
              </w:rPr>
            </w:pPr>
            <w:r>
              <w:rPr>
                <w:rFonts w:ascii="Arial" w:cs="Arial" w:eastAsia="Arial" w:hAnsi="Arial"/>
                <w:sz w:val="18"/>
                <w:szCs w:val="18"/>
                <w:b w:val="1"/>
                <w:bCs w:val="1"/>
                <w:color w:val="auto"/>
              </w:rPr>
              <w:t>LIST OF SUBSIDIARIES</w:t>
            </w:r>
          </w:p>
        </w:tc>
        <w:tc>
          <w:tcPr>
            <w:tcW w:w="2920" w:type="dxa"/>
            <w:vAlign w:val="bottom"/>
          </w:tcPr>
          <w:p>
            <w:pPr>
              <w:spacing w:after="0"/>
              <w:rPr>
                <w:sz w:val="24"/>
                <w:szCs w:val="24"/>
                <w:color w:val="auto"/>
              </w:rPr>
            </w:pPr>
          </w:p>
        </w:tc>
      </w:tr>
      <w:tr>
        <w:trPr>
          <w:trHeight w:val="291"/>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30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Advanced Technology Taiwan, Inc.</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Assembly &amp; Test (Shanghai) Co., Ltd.</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Euroservices, S.A.S.</w:t>
            </w:r>
          </w:p>
        </w:tc>
        <w:tc>
          <w:tcPr>
            <w:tcW w:w="29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Holding, B.V.</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Holding, B.V., Germany (A Branch of a Netherlands Company)</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Japan, Inc.</w:t>
            </w:r>
          </w:p>
        </w:tc>
        <w:tc>
          <w:tcPr>
            <w:tcW w:w="292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Korea, Inc.</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Korea</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Limited</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Cayman Islands</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Malaysia Sdn. Bhd.</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Malaysia</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Philippines, Inc. (A Branch of a Singapore Company)</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Singapore Investment Pte. Ltd.</w:t>
            </w: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Singapore Holding Pte. Ltd.</w:t>
            </w: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Singapore Holding Pte. Ltd., Taiwan Branch (A Branch of a Singapore Company)</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Taiwan Ltd.</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Taiwan</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Technology Vietnam Limited Liability Company</w:t>
            </w: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Vietnam</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Worldwide Services LLC</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Amkor Worldwide Services LLC - ROHQ (A Branch of a United States Company)</w:t>
            </w: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Philippines</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ATEP - Amkor Technology Portugal, S.A.</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Portugal</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Guardian Assets, Inc.</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240"/>
          </w:cols>
          <w:pgMar w:left="320" w:top="125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5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333-149376 and 333-256241) and Form S-3 (No. 333-255655) of Amkor Technology, Inc. of our report dated February 18, 2022, relating to the financial statements and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ectPr>
          <w:pgSz w:w="11900" w:h="16838" w:orient="portrait"/>
          <w:cols w:equalWidth="0" w:num="1">
            <w:col w:w="11240"/>
          </w:cols>
          <w:pgMar w:left="320" w:top="1255"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Guillaume Marie Jean Rutten, certify that:</w:t>
      </w:r>
    </w:p>
    <w:p>
      <w:pPr>
        <w:spacing w:after="0" w:line="198" w:lineRule="exact"/>
        <w:rPr>
          <w:sz w:val="20"/>
          <w:szCs w:val="20"/>
          <w:color w:val="auto"/>
        </w:rPr>
      </w:pPr>
    </w:p>
    <w:p>
      <w:pPr>
        <w:ind w:left="520" w:hanging="188"/>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211" w:lineRule="exact"/>
        <w:rPr>
          <w:rFonts w:ascii="Arial" w:cs="Arial" w:eastAsia="Arial" w:hAnsi="Arial"/>
          <w:sz w:val="18"/>
          <w:szCs w:val="18"/>
          <w:color w:val="auto"/>
        </w:rPr>
      </w:pPr>
    </w:p>
    <w:p>
      <w:pPr>
        <w:jc w:val="both"/>
        <w:ind w:left="500" w:hanging="168"/>
        <w:spacing w:after="0" w:line="263" w:lineRule="auto"/>
        <w:tabs>
          <w:tab w:leader="none" w:pos="5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hanging="168"/>
        <w:spacing w:after="0" w:line="308" w:lineRule="auto"/>
        <w:tabs>
          <w:tab w:leader="none" w:pos="5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500" w:hanging="168"/>
        <w:spacing w:after="0" w:line="263" w:lineRule="auto"/>
        <w:tabs>
          <w:tab w:leader="none" w:pos="5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660" w:hanging="166"/>
        <w:spacing w:after="0" w:line="263" w:lineRule="auto"/>
        <w:tabs>
          <w:tab w:leader="none" w:pos="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660" w:hanging="166"/>
        <w:spacing w:after="0" w:line="263" w:lineRule="auto"/>
        <w:tabs>
          <w:tab w:leader="none" w:pos="729"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166"/>
        <w:spacing w:after="0" w:line="308" w:lineRule="auto"/>
        <w:tabs>
          <w:tab w:leader="none" w:pos="729"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166"/>
        <w:spacing w:after="0" w:line="263" w:lineRule="auto"/>
        <w:tabs>
          <w:tab w:leader="none" w:pos="71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hanging="168"/>
        <w:spacing w:after="0" w:line="308" w:lineRule="auto"/>
        <w:tabs>
          <w:tab w:leader="none" w:pos="522"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166"/>
        <w:spacing w:after="0" w:line="277" w:lineRule="auto"/>
        <w:tabs>
          <w:tab w:leader="none" w:pos="68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hanging="166"/>
        <w:spacing w:after="0" w:line="277" w:lineRule="auto"/>
        <w:tabs>
          <w:tab w:leader="none" w:pos="69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63"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Guillaume Marie Jean Rutten</w:t>
      </w:r>
    </w:p>
    <w:p>
      <w:pPr>
        <w:spacing w:after="0" w:line="86" w:lineRule="exact"/>
        <w:rPr>
          <w:sz w:val="20"/>
          <w:szCs w:val="20"/>
          <w:color w:val="auto"/>
        </w:rPr>
      </w:pPr>
    </w:p>
    <w:p>
      <w:pPr>
        <w:sectPr>
          <w:pgSz w:w="11900" w:h="16838" w:orient="portrait"/>
          <w:cols w:equalWidth="0" w:num="2">
            <w:col w:w="6840" w:space="52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85" w:lineRule="exact"/>
        <w:rPr>
          <w:sz w:val="20"/>
          <w:szCs w:val="20"/>
          <w:color w:val="auto"/>
        </w:rPr>
      </w:pPr>
    </w:p>
    <w:p>
      <w:pPr>
        <w:sectPr>
          <w:pgSz w:w="11900" w:h="16838" w:orient="portrait"/>
          <w:cols w:equalWidth="0" w:num="2">
            <w:col w:w="6980" w:space="38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18, 2022</w:t>
      </w:r>
    </w:p>
    <w:p>
      <w:pPr>
        <w:sectPr>
          <w:pgSz w:w="11900" w:h="16838" w:orient="portrait"/>
          <w:cols w:equalWidth="0" w:num="2">
            <w:col w:w="6980" w:space="380"/>
            <w:col w:w="3880"/>
          </w:cols>
          <w:pgMar w:left="320" w:top="1255" w:right="3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98" w:lineRule="exact"/>
        <w:rPr>
          <w:sz w:val="20"/>
          <w:szCs w:val="20"/>
          <w:color w:val="auto"/>
        </w:rPr>
      </w:pPr>
    </w:p>
    <w:p>
      <w:pPr>
        <w:ind w:left="520" w:hanging="188"/>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Amkor Technology, Inc.;</w:t>
      </w:r>
    </w:p>
    <w:p>
      <w:pPr>
        <w:spacing w:after="0" w:line="211" w:lineRule="exact"/>
        <w:rPr>
          <w:rFonts w:ascii="Arial" w:cs="Arial" w:eastAsia="Arial" w:hAnsi="Arial"/>
          <w:sz w:val="18"/>
          <w:szCs w:val="18"/>
          <w:color w:val="auto"/>
        </w:rPr>
      </w:pPr>
    </w:p>
    <w:p>
      <w:pPr>
        <w:jc w:val="both"/>
        <w:ind w:left="500" w:hanging="168"/>
        <w:spacing w:after="0" w:line="263" w:lineRule="auto"/>
        <w:tabs>
          <w:tab w:leader="none" w:pos="5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hanging="168"/>
        <w:spacing w:after="0" w:line="308" w:lineRule="auto"/>
        <w:tabs>
          <w:tab w:leader="none" w:pos="528"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500" w:hanging="168"/>
        <w:spacing w:after="0" w:line="263" w:lineRule="auto"/>
        <w:tabs>
          <w:tab w:leader="none" w:pos="53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660" w:hanging="166"/>
        <w:spacing w:after="0" w:line="263" w:lineRule="auto"/>
        <w:tabs>
          <w:tab w:leader="none" w:pos="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660" w:hanging="166"/>
        <w:spacing w:after="0" w:line="263" w:lineRule="auto"/>
        <w:tabs>
          <w:tab w:leader="none" w:pos="729"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166"/>
        <w:spacing w:after="0" w:line="308" w:lineRule="auto"/>
        <w:tabs>
          <w:tab w:leader="none" w:pos="729"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166"/>
        <w:spacing w:after="0" w:line="263" w:lineRule="auto"/>
        <w:tabs>
          <w:tab w:leader="none" w:pos="71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hanging="168"/>
        <w:spacing w:after="0" w:line="308" w:lineRule="auto"/>
        <w:tabs>
          <w:tab w:leader="none" w:pos="52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166"/>
        <w:spacing w:after="0" w:line="277" w:lineRule="auto"/>
        <w:tabs>
          <w:tab w:leader="none" w:pos="686"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hanging="166"/>
        <w:spacing w:after="0" w:line="277" w:lineRule="auto"/>
        <w:tabs>
          <w:tab w:leader="none" w:pos="6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p>
      <w:pPr>
        <w:spacing w:after="0" w:line="13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Megan Faust</w:t>
      </w:r>
    </w:p>
    <w:p>
      <w:pPr>
        <w:spacing w:after="0" w:line="86" w:lineRule="exact"/>
        <w:rPr>
          <w:sz w:val="20"/>
          <w:szCs w:val="20"/>
          <w:color w:val="auto"/>
        </w:rPr>
      </w:pPr>
    </w:p>
    <w:p>
      <w:pPr>
        <w:sectPr>
          <w:pgSz w:w="11900" w:h="16838" w:orient="portrait"/>
          <w:cols w:equalWidth="0" w:num="2">
            <w:col w:w="6840" w:space="52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5" w:lineRule="exact"/>
        <w:rPr>
          <w:sz w:val="20"/>
          <w:szCs w:val="20"/>
          <w:color w:val="auto"/>
        </w:rPr>
      </w:pPr>
    </w:p>
    <w:p>
      <w:pPr>
        <w:sectPr>
          <w:pgSz w:w="11900" w:h="16838" w:orient="portrait"/>
          <w:cols w:equalWidth="0" w:num="2">
            <w:col w:w="6980" w:space="380"/>
            <w:col w:w="3880"/>
          </w:cols>
          <w:pgMar w:left="320" w:top="1255" w:right="339" w:bottom="1440" w:gutter="0" w:footer="0" w:header="0"/>
          <w:type w:val="continuous"/>
        </w:sectPr>
      </w:pPr>
    </w:p>
    <w:p>
      <w:pPr>
        <w:ind w:left="65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18, 2022</w:t>
      </w:r>
    </w:p>
    <w:p>
      <w:pPr>
        <w:sectPr>
          <w:pgSz w:w="11900" w:h="16838" w:orient="portrait"/>
          <w:cols w:equalWidth="0" w:num="2">
            <w:col w:w="6980" w:space="380"/>
            <w:col w:w="3880"/>
          </w:cols>
          <w:pgMar w:left="320" w:top="1255" w:right="3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ind w:left="340" w:right="1960"/>
        <w:spacing w:after="0" w:line="266"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93" w:lineRule="exact"/>
        <w:rPr>
          <w:sz w:val="20"/>
          <w:szCs w:val="20"/>
          <w:color w:val="auto"/>
        </w:rPr>
      </w:pPr>
    </w:p>
    <w:p>
      <w:pPr>
        <w:jc w:val="both"/>
        <w:ind w:firstLine="445"/>
        <w:spacing w:after="0" w:line="242" w:lineRule="auto"/>
        <w:rPr>
          <w:sz w:val="20"/>
          <w:szCs w:val="20"/>
          <w:color w:val="auto"/>
        </w:rPr>
      </w:pPr>
      <w:r>
        <w:rPr>
          <w:rFonts w:ascii="Arial" w:cs="Arial" w:eastAsia="Arial" w:hAnsi="Arial"/>
          <w:sz w:val="17"/>
          <w:szCs w:val="17"/>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Annual Report on Form 10-K for the year ended December 31, 2021 (the “Form 10-K”) fully complies with the requirements of Section 13(a) or 15(d) of the Securities Exchange Act of 1934 (15 U.S.C. 78m or 78o(d)) and that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43"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rPr>
              <w:t>By:</w:t>
            </w:r>
          </w:p>
        </w:tc>
        <w:tc>
          <w:tcPr>
            <w:tcW w:w="4080" w:type="dxa"/>
            <w:vAlign w:val="bottom"/>
          </w:tcPr>
          <w:p>
            <w:pPr>
              <w:ind w:left="200"/>
              <w:spacing w:after="0"/>
              <w:rPr>
                <w:sz w:val="20"/>
                <w:szCs w:val="20"/>
                <w:color w:val="auto"/>
              </w:rPr>
            </w:pPr>
            <w:r>
              <w:rPr>
                <w:rFonts w:ascii="Arial" w:cs="Arial" w:eastAsia="Arial" w:hAnsi="Arial"/>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rPr>
              <w:t>Date:</w:t>
            </w:r>
          </w:p>
        </w:tc>
        <w:tc>
          <w:tcPr>
            <w:tcW w:w="4080" w:type="dxa"/>
            <w:vAlign w:val="bottom"/>
          </w:tcPr>
          <w:p>
            <w:pPr>
              <w:ind w:left="200"/>
              <w:spacing w:after="0"/>
              <w:rPr>
                <w:sz w:val="20"/>
                <w:szCs w:val="20"/>
                <w:color w:val="auto"/>
              </w:rPr>
            </w:pPr>
            <w:r>
              <w:rPr>
                <w:rFonts w:ascii="Arial" w:cs="Arial" w:eastAsia="Arial" w:hAnsi="Arial"/>
                <w:sz w:val="18"/>
                <w:szCs w:val="18"/>
                <w:color w:val="auto"/>
              </w:rPr>
              <w:t>February 18, 2022</w:t>
            </w:r>
          </w:p>
        </w:tc>
      </w:tr>
      <w:tr>
        <w:trPr>
          <w:trHeight w:val="540"/>
        </w:trPr>
        <w:tc>
          <w:tcPr>
            <w:tcW w:w="4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Megan Faust</w:t>
            </w:r>
          </w:p>
        </w:tc>
      </w:tr>
      <w:tr>
        <w:trPr>
          <w:trHeight w:val="318"/>
        </w:trPr>
        <w:tc>
          <w:tcPr>
            <w:tcW w:w="600" w:type="dxa"/>
            <w:vAlign w:val="bottom"/>
          </w:tcPr>
          <w:p>
            <w:pPr>
              <w:ind w:left="20"/>
              <w:spacing w:after="0"/>
              <w:rPr>
                <w:sz w:val="20"/>
                <w:szCs w:val="20"/>
                <w:color w:val="auto"/>
              </w:rPr>
            </w:pPr>
            <w:r>
              <w:rPr>
                <w:rFonts w:ascii="Arial" w:cs="Arial" w:eastAsia="Arial" w:hAnsi="Arial"/>
                <w:sz w:val="18"/>
                <w:szCs w:val="18"/>
                <w:color w:val="auto"/>
              </w:rPr>
              <w:t>By:</w:t>
            </w:r>
          </w:p>
        </w:tc>
        <w:tc>
          <w:tcPr>
            <w:tcW w:w="4080" w:type="dxa"/>
            <w:vAlign w:val="bottom"/>
          </w:tcPr>
          <w:p>
            <w:pPr>
              <w:ind w:left="200"/>
              <w:spacing w:after="0"/>
              <w:rPr>
                <w:sz w:val="20"/>
                <w:szCs w:val="20"/>
                <w:color w:val="auto"/>
              </w:rPr>
            </w:pPr>
            <w:r>
              <w:rPr>
                <w:rFonts w:ascii="Arial" w:cs="Arial" w:eastAsia="Arial" w:hAnsi="Arial"/>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0"/>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70"/>
        </w:trPr>
        <w:tc>
          <w:tcPr>
            <w:tcW w:w="600" w:type="dxa"/>
            <w:vAlign w:val="bottom"/>
          </w:tcPr>
          <w:p>
            <w:pPr>
              <w:ind w:left="20"/>
              <w:spacing w:after="0"/>
              <w:rPr>
                <w:sz w:val="20"/>
                <w:szCs w:val="20"/>
                <w:color w:val="auto"/>
              </w:rPr>
            </w:pPr>
            <w:r>
              <w:rPr>
                <w:rFonts w:ascii="Arial" w:cs="Arial" w:eastAsia="Arial" w:hAnsi="Arial"/>
                <w:sz w:val="18"/>
                <w:szCs w:val="18"/>
                <w:color w:val="auto"/>
              </w:rPr>
              <w:t>Date:</w:t>
            </w:r>
          </w:p>
        </w:tc>
        <w:tc>
          <w:tcPr>
            <w:tcW w:w="4080" w:type="dxa"/>
            <w:vAlign w:val="bottom"/>
          </w:tcPr>
          <w:p>
            <w:pPr>
              <w:ind w:left="200"/>
              <w:spacing w:after="0"/>
              <w:rPr>
                <w:sz w:val="20"/>
                <w:szCs w:val="20"/>
                <w:color w:val="auto"/>
              </w:rPr>
            </w:pPr>
            <w:r>
              <w:rPr>
                <w:rFonts w:ascii="Arial" w:cs="Arial" w:eastAsia="Arial" w:hAnsi="Arial"/>
                <w:sz w:val="18"/>
                <w:szCs w:val="18"/>
                <w:color w:val="auto"/>
              </w:rPr>
              <w:t>February 18, 2022</w:t>
            </w:r>
          </w:p>
        </w:tc>
      </w:tr>
    </w:tbl>
    <w:p>
      <w:pPr>
        <w:spacing w:after="0" w:line="1" w:lineRule="exact"/>
        <w:rPr>
          <w:sz w:val="20"/>
          <w:szCs w:val="20"/>
          <w:color w:val="auto"/>
        </w:rPr>
      </w:pP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4"/>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lvl w:ilvl="1">
      <w:lvlJc w:val="left"/>
      <w:lvlText w:val="(%2)"/>
      <w:numFmt w:val="decimal"/>
      <w:start w:val="1"/>
    </w:lvl>
  </w:abstractNum>
  <w:abstractNum w:abstractNumId="33">
    <w:nsid w:val="6DE91B18"/>
    <w:multiLevelType w:val="hybridMultilevel"/>
    <w:lvl w:ilvl="0">
      <w:lvlJc w:val="left"/>
      <w:lvlText w:val="%1."/>
      <w:numFmt w:val="decimal"/>
      <w:start w:val="15"/>
    </w:lvl>
    <w:lvl w:ilvl="1">
      <w:lvlJc w:val="left"/>
      <w:lvlText w:val="%2"/>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amp;"/>
      <w:numFmt w:val="bullet"/>
      <w:start w:val="1"/>
    </w:lvl>
    <w:lvl w:ilvl="1">
      <w:lvlJc w:val="left"/>
      <w:lvlText w:val="(%2)"/>
      <w:numFmt w:val="lowerLetter"/>
      <w:start w:val="2"/>
    </w:lvl>
  </w:abstractNum>
  <w:abstractNum w:abstractNumId="41">
    <w:nsid w:val="1BA026F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42">
    <w:nsid w:val="79A1DEA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3">
    <w:nsid w:val="75C6C33A"/>
    <w:multiLevelType w:val="hybridMultilevel"/>
    <w:lvl w:ilvl="0">
      <w:lvlJc w:val="left"/>
      <w:lvlText w:val="%1."/>
      <w:numFmt w:val="decimal"/>
      <w:start w:val="3"/>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3"/>
    </w:lvl>
    <w:lvl w:ilvl="1">
      <w:lvlJc w:val="left"/>
      <w:lvlText w:val="(%2)"/>
      <w:numFmt w:val="lowerLetter"/>
      <w:start w:val="1"/>
    </w:lvl>
  </w:abstractNum>
  <w:abstractNum w:abstractNumId="46">
    <w:nsid w:val="520EEDD1"/>
    <w:multiLevelType w:val="hybridMultilevel"/>
    <w:lvl w:ilvl="0">
      <w:lvlJc w:val="left"/>
      <w:lvlText w:val="%1"/>
      <w:numFmt w:val="decimal"/>
      <w:start w:val="1"/>
    </w:lvl>
    <w:lvl w:ilvl="1">
      <w:lvlJc w:val="left"/>
      <w:lvlText w:val="(%2)"/>
      <w:numFmt w:val="lowerLetter"/>
      <w:start w:val="2"/>
    </w:lvl>
  </w:abstractNum>
  <w:abstractNum w:abstractNumId="47">
    <w:nsid w:val="374A3FE6"/>
    <w:multiLevelType w:val="hybridMultilevel"/>
    <w:lvl w:ilvl="0">
      <w:lvlJc w:val="left"/>
      <w:lvlText w:val="%1."/>
      <w:numFmt w:val="decimal"/>
      <w:start w:val="8"/>
    </w:lvl>
    <w:lvl w:ilvl="1">
      <w:lvlJc w:val="left"/>
      <w:lvlText w:val="%2"/>
      <w:numFmt w:val="lowerLetter"/>
      <w:start w:val="1"/>
    </w:lvl>
  </w:abstractNum>
  <w:abstractNum w:abstractNumId="48">
    <w:nsid w:val="4F4EF005"/>
    <w:multiLevelType w:val="hybridMultilevel"/>
    <w:lvl w:ilvl="0">
      <w:lvlJc w:val="left"/>
      <w:lvlText w:val="%1."/>
      <w:numFmt w:val="decimal"/>
      <w:start w:val="13"/>
    </w:lvl>
  </w:abstractNum>
  <w:abstractNum w:abstractNumId="49">
    <w:nsid w:val="23F9C13C"/>
    <w:multiLevelType w:val="hybridMultilevel"/>
    <w:lvl w:ilvl="0">
      <w:lvlJc w:val="left"/>
      <w:lvlText w:val="%1."/>
      <w:numFmt w:val="decimal"/>
      <w:start w:val="21"/>
    </w:lvl>
  </w:abstractNum>
  <w:abstractNum w:abstractNumId="50">
    <w:nsid w:val="649BB77C"/>
    <w:multiLevelType w:val="hybridMultilevel"/>
    <w:lvl w:ilvl="0">
      <w:lvlJc w:val="left"/>
      <w:lvlText w:val="%1."/>
      <w:numFmt w:val="decimal"/>
      <w:start w:val="22"/>
    </w:lvl>
  </w:abstractNum>
  <w:abstractNum w:abstractNumId="51">
    <w:nsid w:val="275AC79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2">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53">
    <w:nsid w:val="1CF10FD8"/>
    <w:multiLevelType w:val="hybridMultilevel"/>
    <w:lvl w:ilvl="0">
      <w:lvlJc w:val="left"/>
      <w:lvlText w:val="%1"/>
      <w:numFmt w:val="decimal"/>
      <w:start w:val="1"/>
    </w:lvl>
    <w:lvl w:ilvl="1">
      <w:lvlJc w:val="left"/>
      <w:lvlText w:val="(%2)"/>
      <w:numFmt w:val="lowerLetter"/>
      <w:start w:val="7"/>
    </w:lvl>
  </w:abstractNum>
  <w:abstractNum w:abstractNumId="54">
    <w:nsid w:val="180115BE"/>
    <w:multiLevelType w:val="hybridMultilevel"/>
    <w:lvl w:ilvl="0">
      <w:lvlJc w:val="left"/>
      <w:lvlText w:val="%1."/>
      <w:numFmt w:val="decimal"/>
      <w:start w:val="2"/>
    </w:lvl>
    <w:lvl w:ilvl="1">
      <w:lvlJc w:val="left"/>
      <w:lvlText w:val="%2"/>
      <w:numFmt w:val="lowerLetter"/>
      <w:start w:val="1"/>
    </w:lvl>
  </w:abstractNum>
  <w:abstractNum w:abstractNumId="55">
    <w:nsid w:val="235BA861"/>
    <w:multiLevelType w:val="hybridMultilevel"/>
    <w:lvl w:ilvl="0">
      <w:lvlJc w:val="left"/>
      <w:lvlText w:val="%1"/>
      <w:numFmt w:val="decimal"/>
      <w:start w:val="1"/>
    </w:lvl>
    <w:lvl w:ilvl="1">
      <w:lvlJc w:val="left"/>
      <w:lvlText w:val="(%2)"/>
      <w:numFmt w:val="lowerLetter"/>
      <w:start w:val="1"/>
    </w:lvl>
  </w:abstractNum>
  <w:abstractNum w:abstractNumId="56">
    <w:nsid w:val="47398C89"/>
    <w:multiLevelType w:val="hybridMultilevel"/>
    <w:lvl w:ilvl="0">
      <w:lvlJc w:val="left"/>
      <w:lvlText w:val="%1."/>
      <w:numFmt w:val="decimal"/>
      <w:start w:val="3"/>
    </w:lvl>
    <w:lvl w:ilvl="1">
      <w:lvlJc w:val="left"/>
      <w:lvlText w:val="%2"/>
      <w:numFmt w:val="lowerLetter"/>
      <w:start w:val="1"/>
    </w:lvl>
  </w:abstractNum>
  <w:abstractNum w:abstractNumId="57">
    <w:nsid w:val="354FE9F9"/>
    <w:multiLevelType w:val="hybridMultilevel"/>
    <w:lvl w:ilvl="0">
      <w:lvlJc w:val="left"/>
      <w:lvlText w:val="%1."/>
      <w:numFmt w:val="decimal"/>
      <w:start w:val="12"/>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3" Type="http://schemas.openxmlformats.org/officeDocument/2006/relationships/image" Target="media/image101.png"/><Relationship Id="rId143"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08" Type="http://schemas.openxmlformats.org/officeDocument/2006/relationships/hyperlink" Target="http://www.sec.gov/Archives/edgar/data/1047127/000089322004001612/w99531exv2w3.txt" TargetMode="External"/><Relationship Id="rId109" Type="http://schemas.openxmlformats.org/officeDocument/2006/relationships/hyperlink" Target="http://www.sec.gov/Archives/edgar/data/1047127/0000891618-97-004025.txt" TargetMode="External"/><Relationship Id="rId110" Type="http://schemas.openxmlformats.org/officeDocument/2006/relationships/hyperlink" Target="http://www.sec.gov/Archives/edgar/data/1047127/0000891618-98-004062.txt" TargetMode="External"/><Relationship Id="rId111" Type="http://schemas.openxmlformats.org/officeDocument/2006/relationships/hyperlink" Target="http://www.sec.gov/Archives/edgar/data/1047127/000104712714000006/amkr123113ex33.htm" TargetMode="External"/><Relationship Id="rId112" Type="http://schemas.openxmlformats.org/officeDocument/2006/relationships/hyperlink" Target="http://www.sec.gov/Archives/edgar/data/1047127/0000891618-98-001449.txt" TargetMode="External"/><Relationship Id="rId113" Type="http://schemas.openxmlformats.org/officeDocument/2006/relationships/hyperlink" Target="http://www.sec.gov/Archives/edgar/data/1047127/000119312519076193/d712238dex41.htm" TargetMode="External"/><Relationship Id="rId114" Type="http://schemas.openxmlformats.org/officeDocument/2006/relationships/hyperlink" Target="http://www.sec.gov/Archives/edgar/data/1047127/000104712720000006/amkr123119ex43.htm" TargetMode="External"/><Relationship Id="rId115" Type="http://schemas.openxmlformats.org/officeDocument/2006/relationships/hyperlink" Target="http://www.sec.gov/Archives/edgar/data/1047127/000095015309000248/p14626exv10w1.htm" TargetMode="External"/><Relationship Id="rId116" Type="http://schemas.openxmlformats.org/officeDocument/2006/relationships/hyperlink" Target="http://www.sec.gov/Archives/edgar/data/1047127/000104712717000013/ex101ceoagreement.htm" TargetMode="External"/><Relationship Id="rId117" Type="http://schemas.openxmlformats.org/officeDocument/2006/relationships/hyperlink" Target="http://www.sec.gov/Archives/edgar/data/1047127/000104712717000023/amkr33117ex102.htm" TargetMode="External"/><Relationship Id="rId118" Type="http://schemas.openxmlformats.org/officeDocument/2006/relationships/hyperlink" Target="http://www.sec.gov/Archives/edgar/data/1047127/000104712717000023/amkr33117ex103.htm" TargetMode="External"/><Relationship Id="rId119" Type="http://schemas.openxmlformats.org/officeDocument/2006/relationships/hyperlink" Target="http://www.sec.gov/Archives/edgar/data/1047127/000104712717000023/amkr33117ex104.htm" TargetMode="External"/><Relationship Id="rId120" Type="http://schemas.openxmlformats.org/officeDocument/2006/relationships/hyperlink" Target="http://www.sec.gov/Archives/edgar/data/1047127/000104712717000025/amkorarequityplanexhibit10.htm" TargetMode="External"/><Relationship Id="rId121" Type="http://schemas.openxmlformats.org/officeDocument/2006/relationships/hyperlink" Target="http://www.sec.gov/Archives/edgar/data/1047127/000104712719000036/amkr63019ex103.htm" TargetMode="External"/><Relationship Id="rId122" Type="http://schemas.openxmlformats.org/officeDocument/2006/relationships/hyperlink" Target="http://www.sec.gov/Archives/edgar/data/1047127/000104712720000037/a101-amkorglobalformof.htm" TargetMode="External"/><Relationship Id="rId124" Type="http://schemas.openxmlformats.org/officeDocument/2006/relationships/hyperlink" Target="http://www.sec.gov/Archives/edgar/data/1047127/000104712720000037/a102-exhibitamkorxglob.htm" TargetMode="External"/><Relationship Id="rId125" Type="http://schemas.openxmlformats.org/officeDocument/2006/relationships/hyperlink" Target="http://www.sec.gov/Archives/edgar/data/1047127/000104712720000057/a101globalformofstocko.htm" TargetMode="External"/><Relationship Id="rId126" Type="http://schemas.openxmlformats.org/officeDocument/2006/relationships/hyperlink" Target="http://www.sec.gov/Archives/edgar/data/1047127/000104712720000057/a102globalformofrestri.htm" TargetMode="External"/><Relationship Id="rId127" Type="http://schemas.openxmlformats.org/officeDocument/2006/relationships/hyperlink" Target="http://www.sec.gov/Archives/edgar/data/1047127/000104712721000003/exhibit101-formofperforman.htm" TargetMode="External"/><Relationship Id="rId128" Type="http://schemas.openxmlformats.org/officeDocument/2006/relationships/hyperlink" Target="http://www.sec.gov/Archives/edgar/data/1047127/000104712721000003/exhibit102-formofrestricte.htm" TargetMode="External"/><Relationship Id="rId129" Type="http://schemas.openxmlformats.org/officeDocument/2006/relationships/hyperlink" Target="http://www.sec.gov/Archives/edgar/data/0001047127/000119312521167936/d182081dex101.htm" TargetMode="External"/><Relationship Id="rId130" Type="http://schemas.openxmlformats.org/officeDocument/2006/relationships/hyperlink" Target="http://www.sec.gov/Archives/edgar/data/0001047127/000119312521167936/d182081dex102.h" TargetMode="External"/><Relationship Id="rId131" Type="http://schemas.openxmlformats.org/officeDocument/2006/relationships/hyperlink" Target="http://www.sec.gov/Archives/edgar/data/0001047127/000119312521167936/d182081dex103.htm" TargetMode="External"/><Relationship Id="rId132" Type="http://schemas.openxmlformats.org/officeDocument/2006/relationships/hyperlink" Target="http://www.sec.gov/Archives/edgar/data/0001047127/000119312521167936/d182081dex104.htm" TargetMode="External"/><Relationship Id="rId133" Type="http://schemas.openxmlformats.org/officeDocument/2006/relationships/hyperlink" Target="http://www.sec.gov/Archives/edgar/data/0001047127/000119312521167936/d182081dex105.htm" TargetMode="External"/><Relationship Id="rId134" Type="http://schemas.openxmlformats.org/officeDocument/2006/relationships/hyperlink" Target="http://www.sec.gov/Archives/edgar/data/0001047127/000119312521167936/d182081dex106.htm" TargetMode="External"/><Relationship Id="rId135" Type="http://schemas.openxmlformats.org/officeDocument/2006/relationships/hyperlink" Target="http://www.sec.gov/Archives/edgar/data/0001047127/000119312521167936/d182081dex107.htm" TargetMode="External"/><Relationship Id="rId136" Type="http://schemas.openxmlformats.org/officeDocument/2006/relationships/hyperlink" Target="http://www.sec.gov/Archives/edgar/data/1047127/000104712717000025/amkorarexecutiveincentiveb.htm" TargetMode="External"/><Relationship Id="rId137" Type="http://schemas.openxmlformats.org/officeDocument/2006/relationships/hyperlink" Target="http://www.sec.gov/Archives/edgar/data/1047127/000104712720000037/a103-exhibitamkorrutte.htm" TargetMode="External"/><Relationship Id="rId138" Type="http://schemas.openxmlformats.org/officeDocument/2006/relationships/hyperlink" Target="http://www.sec.gov/Archives/edgar/data/1047127/000104712720000037/a104-exhibitamkorsteph.htm" TargetMode="External"/><Relationship Id="rId139" Type="http://schemas.openxmlformats.org/officeDocument/2006/relationships/hyperlink" Target="http://www.sec.gov/Archives/edgar/data/0001047127/000104712721000043/amkr9302021ex101.htm" TargetMode="External"/><Relationship Id="rId140" Type="http://schemas.openxmlformats.org/officeDocument/2006/relationships/hyperlink" Target="http://www.sec.gov/Archives/edgar/data/1047127/000119312518220776/d551484dex101.htm" TargetMode="External"/><Relationship Id="rId141" Type="http://schemas.openxmlformats.org/officeDocument/2006/relationships/hyperlink" Target="http://www.sec.gov/Archives/edgar/data/1047127/000119312518220776/d551484dex102.htm" TargetMode="External"/><Relationship Id="rId142" Type="http://schemas.openxmlformats.org/officeDocument/2006/relationships/hyperlink" Target="http://www.sec.gov/Archives/edgar/data/1047127/000119312518220776/d551484dex103.htm" TargetMode="External"/><Relationship Id="rId144" Type="http://schemas.openxmlformats.org/officeDocument/2006/relationships/hyperlink" Target="http://www.sec.gov/Archives/edgar/data/1047127/000104712719000036/amkr63019ex102.htm" TargetMode="External"/><Relationship Id="rId145" Type="http://schemas.openxmlformats.org/officeDocument/2006/relationships/hyperlink" Target="http://www.sec.gov/Archives/edgar/data/1047127/000119312518220776/d551484dex104.htm" TargetMode="External"/><Relationship Id="rId146" Type="http://schemas.openxmlformats.org/officeDocument/2006/relationships/hyperlink" Target="http://www.sec.gov/Archives/edgar/data/1047127/000119312519323503/d841984dex101.htm" TargetMode="External"/><Relationship Id="rId147" Type="http://schemas.openxmlformats.org/officeDocument/2006/relationships/hyperlink" Target="http://www.sec.gov/Archives/edgar/data/1047127/000119312519323503/d841984dex102.htm" TargetMode="External"/><Relationship Id="rId148" Type="http://schemas.openxmlformats.org/officeDocument/2006/relationships/hyperlink" Target="http://www.sec.gov/Archives/edgar/data/1047127/000119312519323503/d84198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2022-02-18T13:58:18Z</dcterms:created>
  <dcterms:modified xsi:type="dcterms:W3CDTF">2022-02-18T13:58:18Z</dcterms:modified>
</cp:coreProperties>
</file>