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171860.xml.htm"/>
      <w:bookmarkStart w:id="1" w:name="kswkform4_178717186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ROGERS MARK 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2045 EAST INNOVATION CIRCLE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TEMPE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AZ</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85284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AMKOR TECHNOLOGY, INC.</w:t>
              </w:r>
            </w:hyperlink>
            <w:r>
              <w:rPr/>
              <w:t xml:space="preserve"> [ </w:t>
            </w:r>
            <w:r>
              <w:rPr>
                <w:rFonts w:ascii="Times;serif" w:hAnsi="Times;serif"/>
                <w:color w:val="0000FF"/>
                <w:sz w:val="24"/>
                <w:shd w:fill="FFFFFF" w:val="clear"/>
              </w:rPr>
              <w:t>AMKR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&amp; General Counsel</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7.4</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43,904</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59.78</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38,904</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99" w:type="dxa"/>
        <w:jc w:val="left"/>
        <w:tblInd w:w="-7" w:type="dxa"/>
        <w:tblLayout w:type="fixed"/>
        <w:tblCellMar>
          <w:top w:w="60" w:type="dxa"/>
          <w:left w:w="60" w:type="dxa"/>
          <w:bottom w:w="60" w:type="dxa"/>
          <w:right w:w="60" w:type="dxa"/>
        </w:tblCellMar>
      </w:tblPr>
      <w:tblGrid>
        <w:gridCol w:w="131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229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31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1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1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(Right-to-Buy)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06/10/2020</w:t>
            </w: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06/10/2029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reported in this Form 4 was effected pursuant to a Rule 10b5-1 trading plan adopted by the Reporting Person on August 1,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stock option (the "Option") to acquire 200,000 shares of Amkor Technology, Inc. common stock (the "Option Shares") was granted on June 10, 2019 (the "Option Grant Date") and vested over four years as follows: (i) with respect to 25% of the Option Shares, on the first anniversary of the Option Grant Date; and (ii) with respect to the remainder of the Option Shares, in equal quarterly installments thereafter, such that 100% of the Option vested on the fourth anniversary of the Option Grant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Mark N. Rogers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201997" TargetMode="External"/><Relationship Id="rId5" Type="http://schemas.openxmlformats.org/officeDocument/2006/relationships/hyperlink" Target="http://www.sec.gov/cgi-bin/browse-edgar?action=getcompany&amp;CIK=000104712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702</Words>
  <Characters>3737</Characters>
  <CharactersWithSpaces>4350</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