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791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380"/>
          </w:cols>
          <w:pgMar w:left="460" w:top="217" w:right="479" w:bottom="62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SUSAN 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80"/>
        <w:spacing w:after="0" w:line="380" w:lineRule="auto"/>
        <w:rPr>
          <w:sz w:val="20"/>
          <w:szCs w:val="20"/>
          <w:color w:val="auto"/>
        </w:rPr>
      </w:pPr>
      <w:r>
        <w:rPr>
          <w:rFonts w:ascii="Times New Roman" w:cs="Times New Roman" w:eastAsia="Times New Roman" w:hAnsi="Times New Roman"/>
          <w:sz w:val="16"/>
          <w:szCs w:val="16"/>
          <w:color w:val="0000FF"/>
        </w:rPr>
        <w:t>C/O SIANA CARR O'CONNOR &amp; LYNAM 1500 EAST LANCASTER AVENUE</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PAOLI</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19301-9713</w:t>
            </w: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AMKOR TECHNOLOGY,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AMKR</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7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06/23/2026</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Member of 10% owner group (5)</w:t>
            </w:r>
          </w:p>
        </w:tc>
        <w:tc>
          <w:tcPr>
            <w:tcW w:w="0" w:type="dxa"/>
            <w:vAlign w:val="bottom"/>
          </w:tcPr>
          <w:p>
            <w:pPr>
              <w:spacing w:after="0"/>
              <w:rPr>
                <w:sz w:val="1"/>
                <w:szCs w:val="1"/>
                <w:color w:val="auto"/>
              </w:rPr>
            </w:pPr>
          </w:p>
        </w:tc>
      </w:tr>
      <w:tr>
        <w:trPr>
          <w:trHeight w:val="33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00"/>
            <w:col w:w="7120"/>
          </w:cols>
          <w:pgMar w:left="460" w:top="217" w:right="479" w:bottom="624"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2340" w:type="dxa"/>
            <w:vAlign w:val="bottom"/>
          </w:tcPr>
          <w:p>
            <w:pPr>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3"/>
              </w:rPr>
              <w:t>7. Nature of</w:t>
            </w: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17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 Direct</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172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or Indirect</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Ownership</w:t>
            </w: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0960"/>
          </w:cols>
          <w:pgMar w:left="460" w:top="217" w:right="479" w:bottom="624" w:gutter="0" w:footer="0" w:header="0"/>
          <w:type w:val="continuous"/>
        </w:sectPr>
      </w:pPr>
    </w:p>
    <w:p>
      <w:pPr>
        <w:spacing w:after="0"/>
        <w:rPr>
          <w:sz w:val="20"/>
          <w:szCs w:val="20"/>
          <w:color w:val="auto"/>
        </w:rPr>
      </w:pPr>
      <w:r>
        <w:rPr>
          <w:sz w:val="1"/>
          <w:szCs w:val="1"/>
          <w:color w:val="auto"/>
        </w:rPr>
        <w:drawing>
          <wp:inline distT="0" distB="0" distL="0" distR="0">
            <wp:extent cx="33655"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228600"/>
                    </a:xfrm>
                    <a:prstGeom prst="rect">
                      <a:avLst/>
                    </a:prstGeom>
                    <a:noFill/>
                    <a:ln>
                      <a:noFill/>
                    </a:ln>
                  </pic:spPr>
                </pic:pic>
              </a:graphicData>
            </a:graphic>
          </wp:inline>
        </w:drawing>
      </w:r>
      <w:r>
        <w:rPr>
          <w:rFonts w:ascii="Times New Roman" w:cs="Times New Roman" w:eastAsia="Times New Roman" w:hAnsi="Times New Roman"/>
          <w:sz w:val="15"/>
          <w:szCs w:val="15"/>
          <w:color w:val="0000FF"/>
        </w:rPr>
        <w:t xml:space="preserve"> Common Stock</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w:t>
      </w:r>
    </w:p>
    <w:p>
      <w:pPr>
        <w:spacing w:after="0" w:line="200" w:lineRule="exact"/>
        <w:rPr>
          <w:sz w:val="24"/>
          <w:szCs w:val="24"/>
          <w:color w:val="auto"/>
        </w:rPr>
      </w:pPr>
    </w:p>
    <w:p>
      <w:pPr>
        <w:spacing w:after="0" w:line="365"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w:t>
      </w:r>
    </w:p>
    <w:p>
      <w:pPr>
        <w:spacing w:after="0" w:line="200" w:lineRule="exact"/>
        <w:rPr>
          <w:sz w:val="24"/>
          <w:szCs w:val="24"/>
          <w:color w:val="auto"/>
        </w:rPr>
      </w:pPr>
    </w:p>
    <w:p>
      <w:pPr>
        <w:spacing w:after="0" w:line="26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w:t>
      </w:r>
    </w:p>
    <w:p>
      <w:pPr>
        <w:spacing w:after="0" w:line="200" w:lineRule="exact"/>
        <w:rPr>
          <w:sz w:val="24"/>
          <w:szCs w:val="24"/>
          <w:color w:val="auto"/>
        </w:rPr>
      </w:pPr>
    </w:p>
    <w:p>
      <w:pPr>
        <w:spacing w:after="0" w:line="365"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w:t>
      </w:r>
    </w:p>
    <w:p>
      <w:pPr>
        <w:spacing w:after="0" w:line="200" w:lineRule="exact"/>
        <w:rPr>
          <w:sz w:val="24"/>
          <w:szCs w:val="24"/>
          <w:color w:val="auto"/>
        </w:rPr>
      </w:pPr>
    </w:p>
    <w:p>
      <w:pPr>
        <w:spacing w:after="0" w:line="26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30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0000FF"/>
                <w:w w:val="96"/>
              </w:rPr>
              <w:t>6,120,387</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2025</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7"/>
        </w:trPr>
        <w:tc>
          <w:tcPr>
            <w:tcW w:w="1300" w:type="dxa"/>
            <w:vAlign w:val="bottom"/>
          </w:tcPr>
          <w:p>
            <w:pPr>
              <w:jc w:val="center"/>
              <w:ind w:right="136"/>
              <w:spacing w:after="0" w:line="207" w:lineRule="exact"/>
              <w:rPr>
                <w:sz w:val="20"/>
                <w:szCs w:val="20"/>
                <w:color w:val="auto"/>
              </w:rPr>
            </w:pPr>
            <w:r>
              <w:rPr>
                <w:rFonts w:ascii="Times New Roman" w:cs="Times New Roman" w:eastAsia="Times New Roman" w:hAnsi="Times New Roman"/>
                <w:sz w:val="17"/>
                <w:szCs w:val="17"/>
                <w:color w:val="0000FF"/>
                <w:w w:val="91"/>
              </w:rPr>
              <w:t>3,244,594</w:t>
            </w:r>
            <w:r>
              <w:rPr>
                <w:rFonts w:ascii="Times New Roman" w:cs="Times New Roman" w:eastAsia="Times New Roman" w:hAnsi="Times New Roman"/>
                <w:sz w:val="21"/>
                <w:szCs w:val="21"/>
                <w:color w:val="008000"/>
                <w:w w:val="91"/>
                <w:vertAlign w:val="superscript"/>
              </w:rPr>
              <w:t>(1)(2)</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Trust No. 1</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of James J.</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Kim</w:t>
            </w:r>
          </w:p>
        </w:tc>
        <w:tc>
          <w:tcPr>
            <w:tcW w:w="0" w:type="dxa"/>
            <w:vAlign w:val="bottom"/>
          </w:tcPr>
          <w:p>
            <w:pPr>
              <w:spacing w:after="0"/>
              <w:rPr>
                <w:sz w:val="1"/>
                <w:szCs w:val="1"/>
                <w:color w:val="auto"/>
              </w:rPr>
            </w:pPr>
          </w:p>
        </w:tc>
      </w:tr>
      <w:tr>
        <w:trPr>
          <w:trHeight w:val="325"/>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2025</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07"/>
        </w:trPr>
        <w:tc>
          <w:tcPr>
            <w:tcW w:w="1300" w:type="dxa"/>
            <w:vAlign w:val="bottom"/>
          </w:tcPr>
          <w:p>
            <w:pPr>
              <w:jc w:val="center"/>
              <w:ind w:right="136"/>
              <w:spacing w:after="0" w:line="207" w:lineRule="exact"/>
              <w:rPr>
                <w:sz w:val="20"/>
                <w:szCs w:val="20"/>
                <w:color w:val="auto"/>
              </w:rPr>
            </w:pPr>
            <w:r>
              <w:rPr>
                <w:rFonts w:ascii="Times New Roman" w:cs="Times New Roman" w:eastAsia="Times New Roman" w:hAnsi="Times New Roman"/>
                <w:sz w:val="17"/>
                <w:szCs w:val="17"/>
                <w:color w:val="0000FF"/>
                <w:w w:val="91"/>
              </w:rPr>
              <w:t>2,538,000</w:t>
            </w:r>
            <w:r>
              <w:rPr>
                <w:rFonts w:ascii="Times New Roman" w:cs="Times New Roman" w:eastAsia="Times New Roman" w:hAnsi="Times New Roman"/>
                <w:sz w:val="21"/>
                <w:szCs w:val="21"/>
                <w:color w:val="008000"/>
                <w:w w:val="91"/>
                <w:vertAlign w:val="superscript"/>
              </w:rPr>
              <w:t>(1)(2)</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Trust No. 1</w:t>
            </w: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of Agnes C.</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Kim</w:t>
            </w:r>
          </w:p>
        </w:tc>
        <w:tc>
          <w:tcPr>
            <w:tcW w:w="0" w:type="dxa"/>
            <w:vAlign w:val="bottom"/>
          </w:tcPr>
          <w:p>
            <w:pPr>
              <w:spacing w:after="0"/>
              <w:rPr>
                <w:sz w:val="1"/>
                <w:szCs w:val="1"/>
                <w:color w:val="auto"/>
              </w:rPr>
            </w:pPr>
          </w:p>
        </w:tc>
      </w:tr>
      <w:tr>
        <w:trPr>
          <w:trHeight w:val="325"/>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James J.</w:t>
            </w:r>
          </w:p>
        </w:tc>
        <w:tc>
          <w:tcPr>
            <w:tcW w:w="0" w:type="dxa"/>
            <w:vAlign w:val="bottom"/>
          </w:tcPr>
          <w:p>
            <w:pPr>
              <w:spacing w:after="0"/>
              <w:rPr>
                <w:sz w:val="1"/>
                <w:szCs w:val="1"/>
                <w:color w:val="auto"/>
              </w:rPr>
            </w:pPr>
          </w:p>
        </w:tc>
      </w:tr>
      <w:tr>
        <w:trPr>
          <w:trHeight w:val="207"/>
        </w:trPr>
        <w:tc>
          <w:tcPr>
            <w:tcW w:w="13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7"/>
                <w:szCs w:val="17"/>
                <w:color w:val="0000FF"/>
                <w:w w:val="91"/>
              </w:rPr>
              <w:t>1,235,000</w:t>
            </w:r>
            <w:r>
              <w:rPr>
                <w:rFonts w:ascii="Times New Roman" w:cs="Times New Roman" w:eastAsia="Times New Roman" w:hAnsi="Times New Roman"/>
                <w:sz w:val="21"/>
                <w:szCs w:val="21"/>
                <w:color w:val="008000"/>
                <w:w w:val="91"/>
                <w:vertAlign w:val="superscript"/>
              </w:rPr>
              <w:t>(1)(2)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Kim 2024</w:t>
            </w:r>
          </w:p>
        </w:tc>
        <w:tc>
          <w:tcPr>
            <w:tcW w:w="0" w:type="dxa"/>
            <w:vAlign w:val="bottom"/>
          </w:tcPr>
          <w:p>
            <w:pPr>
              <w:spacing w:after="0"/>
              <w:rPr>
                <w:sz w:val="1"/>
                <w:szCs w:val="1"/>
                <w:color w:val="auto"/>
              </w:rPr>
            </w:pPr>
          </w:p>
        </w:tc>
      </w:tr>
      <w:tr>
        <w:trPr>
          <w:trHeight w:val="168"/>
        </w:trPr>
        <w:tc>
          <w:tcPr>
            <w:tcW w:w="1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GRAT dtd.</w:t>
            </w: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8/5/24</w:t>
            </w:r>
          </w:p>
        </w:tc>
        <w:tc>
          <w:tcPr>
            <w:tcW w:w="0" w:type="dxa"/>
            <w:vAlign w:val="bottom"/>
          </w:tcPr>
          <w:p>
            <w:pPr>
              <w:spacing w:after="0"/>
              <w:rPr>
                <w:sz w:val="1"/>
                <w:szCs w:val="1"/>
                <w:color w:val="auto"/>
              </w:rPr>
            </w:pPr>
          </w:p>
        </w:tc>
      </w:tr>
      <w:tr>
        <w:trPr>
          <w:trHeight w:val="325"/>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6"/>
              </w:rPr>
              <w:t>By Agnes C.</w:t>
            </w:r>
          </w:p>
        </w:tc>
        <w:tc>
          <w:tcPr>
            <w:tcW w:w="0" w:type="dxa"/>
            <w:vAlign w:val="bottom"/>
          </w:tcPr>
          <w:p>
            <w:pPr>
              <w:spacing w:after="0"/>
              <w:rPr>
                <w:sz w:val="1"/>
                <w:szCs w:val="1"/>
                <w:color w:val="auto"/>
              </w:rPr>
            </w:pPr>
          </w:p>
        </w:tc>
      </w:tr>
      <w:tr>
        <w:trPr>
          <w:trHeight w:val="207"/>
        </w:trPr>
        <w:tc>
          <w:tcPr>
            <w:tcW w:w="13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7"/>
                <w:szCs w:val="17"/>
                <w:color w:val="0000FF"/>
                <w:w w:val="90"/>
              </w:rPr>
              <w:t>895,000</w:t>
            </w:r>
            <w:r>
              <w:rPr>
                <w:rFonts w:ascii="Times New Roman" w:cs="Times New Roman" w:eastAsia="Times New Roman" w:hAnsi="Times New Roman"/>
                <w:sz w:val="21"/>
                <w:szCs w:val="21"/>
                <w:color w:val="008000"/>
                <w:w w:val="90"/>
                <w:vertAlign w:val="superscript"/>
              </w:rPr>
              <w:t>(1)(2)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Kim 2024</w:t>
            </w:r>
          </w:p>
        </w:tc>
        <w:tc>
          <w:tcPr>
            <w:tcW w:w="0" w:type="dxa"/>
            <w:vAlign w:val="bottom"/>
          </w:tcPr>
          <w:p>
            <w:pPr>
              <w:spacing w:after="0"/>
              <w:rPr>
                <w:sz w:val="1"/>
                <w:szCs w:val="1"/>
                <w:color w:val="auto"/>
              </w:rPr>
            </w:pPr>
          </w:p>
        </w:tc>
      </w:tr>
      <w:tr>
        <w:trPr>
          <w:trHeight w:val="168"/>
        </w:trPr>
        <w:tc>
          <w:tcPr>
            <w:tcW w:w="1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GRAT dtd.</w:t>
            </w: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8/5/24</w:t>
            </w:r>
          </w:p>
        </w:tc>
        <w:tc>
          <w:tcPr>
            <w:tcW w:w="0" w:type="dxa"/>
            <w:vAlign w:val="bottom"/>
          </w:tcPr>
          <w:p>
            <w:pPr>
              <w:spacing w:after="0"/>
              <w:rPr>
                <w:sz w:val="1"/>
                <w:szCs w:val="1"/>
                <w:color w:val="auto"/>
              </w:rPr>
            </w:pPr>
          </w:p>
        </w:tc>
      </w:tr>
      <w:tr>
        <w:trPr>
          <w:trHeight w:val="325"/>
        </w:trPr>
        <w:tc>
          <w:tcPr>
            <w:tcW w:w="13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7"/>
                <w:szCs w:val="17"/>
                <w:color w:val="0000FF"/>
                <w:w w:val="91"/>
              </w:rPr>
              <w:t>1,124,000</w:t>
            </w:r>
            <w:r>
              <w:rPr>
                <w:rFonts w:ascii="Times New Roman" w:cs="Times New Roman" w:eastAsia="Times New Roman" w:hAnsi="Times New Roman"/>
                <w:sz w:val="21"/>
                <w:szCs w:val="21"/>
                <w:color w:val="008000"/>
                <w:w w:val="91"/>
                <w:vertAlign w:val="superscript"/>
              </w:rPr>
              <w:t>(1)(2)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own</w:t>
            </w:r>
          </w:p>
        </w:tc>
        <w:tc>
          <w:tcPr>
            <w:tcW w:w="0" w:type="dxa"/>
            <w:vAlign w:val="bottom"/>
          </w:tcPr>
          <w:p>
            <w:pPr>
              <w:spacing w:after="0"/>
              <w:rPr>
                <w:sz w:val="1"/>
                <w:szCs w:val="1"/>
                <w:color w:val="auto"/>
              </w:rPr>
            </w:pPr>
          </w:p>
        </w:tc>
      </w:tr>
      <w:tr>
        <w:trPr>
          <w:trHeight w:val="168"/>
        </w:trPr>
        <w:tc>
          <w:tcPr>
            <w:tcW w:w="1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GRATs</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trusts</w:t>
            </w:r>
          </w:p>
        </w:tc>
        <w:tc>
          <w:tcPr>
            <w:tcW w:w="0" w:type="dxa"/>
            <w:vAlign w:val="bottom"/>
          </w:tcPr>
          <w:p>
            <w:pPr>
              <w:spacing w:after="0"/>
              <w:rPr>
                <w:sz w:val="1"/>
                <w:szCs w:val="1"/>
                <w:color w:val="auto"/>
              </w:rPr>
            </w:pPr>
          </w:p>
        </w:tc>
      </w:tr>
      <w:tr>
        <w:trPr>
          <w:trHeight w:val="207"/>
        </w:trPr>
        <w:tc>
          <w:tcPr>
            <w:tcW w:w="1300" w:type="dxa"/>
            <w:vAlign w:val="bottom"/>
          </w:tcPr>
          <w:p>
            <w:pPr>
              <w:jc w:val="center"/>
              <w:ind w:right="136"/>
              <w:spacing w:after="0" w:line="207" w:lineRule="exact"/>
              <w:rPr>
                <w:sz w:val="20"/>
                <w:szCs w:val="20"/>
                <w:color w:val="auto"/>
              </w:rPr>
            </w:pPr>
            <w:r>
              <w:rPr>
                <w:rFonts w:ascii="Times New Roman" w:cs="Times New Roman" w:eastAsia="Times New Roman" w:hAnsi="Times New Roman"/>
                <w:sz w:val="17"/>
                <w:szCs w:val="17"/>
                <w:color w:val="0000FF"/>
                <w:w w:val="91"/>
              </w:rPr>
              <w:t>3,713,610</w:t>
            </w:r>
            <w:r>
              <w:rPr>
                <w:rFonts w:ascii="Times New Roman" w:cs="Times New Roman" w:eastAsia="Times New Roman" w:hAnsi="Times New Roman"/>
                <w:sz w:val="21"/>
                <w:szCs w:val="21"/>
                <w:color w:val="008000"/>
                <w:w w:val="91"/>
                <w:vertAlign w:val="superscript"/>
              </w:rPr>
              <w:t>(1)(2)</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(excl.</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GRATs)</w:t>
            </w:r>
          </w:p>
        </w:tc>
        <w:tc>
          <w:tcPr>
            <w:tcW w:w="0" w:type="dxa"/>
            <w:vAlign w:val="bottom"/>
          </w:tcPr>
          <w:p>
            <w:pPr>
              <w:spacing w:after="0"/>
              <w:rPr>
                <w:sz w:val="1"/>
                <w:szCs w:val="1"/>
                <w:color w:val="auto"/>
              </w:rPr>
            </w:pPr>
          </w:p>
        </w:tc>
      </w:tr>
      <w:tr>
        <w:trPr>
          <w:trHeight w:val="325"/>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Sujoda</w:t>
            </w:r>
          </w:p>
        </w:tc>
        <w:tc>
          <w:tcPr>
            <w:tcW w:w="0" w:type="dxa"/>
            <w:vAlign w:val="bottom"/>
          </w:tcPr>
          <w:p>
            <w:pPr>
              <w:spacing w:after="0"/>
              <w:rPr>
                <w:sz w:val="1"/>
                <w:szCs w:val="1"/>
                <w:color w:val="auto"/>
              </w:rPr>
            </w:pPr>
          </w:p>
        </w:tc>
      </w:tr>
      <w:tr>
        <w:trPr>
          <w:trHeight w:val="207"/>
        </w:trPr>
        <w:tc>
          <w:tcPr>
            <w:tcW w:w="1300" w:type="dxa"/>
            <w:vAlign w:val="bottom"/>
          </w:tcPr>
          <w:p>
            <w:pPr>
              <w:jc w:val="center"/>
              <w:ind w:right="156"/>
              <w:spacing w:after="0" w:line="207" w:lineRule="exact"/>
              <w:rPr>
                <w:sz w:val="20"/>
                <w:szCs w:val="20"/>
                <w:color w:val="auto"/>
              </w:rPr>
            </w:pPr>
            <w:r>
              <w:rPr>
                <w:rFonts w:ascii="Times New Roman" w:cs="Times New Roman" w:eastAsia="Times New Roman" w:hAnsi="Times New Roman"/>
                <w:sz w:val="17"/>
                <w:szCs w:val="17"/>
                <w:color w:val="0000FF"/>
                <w:w w:val="90"/>
              </w:rPr>
              <w:t>3,789,479</w:t>
            </w:r>
            <w:r>
              <w:rPr>
                <w:rFonts w:ascii="Times New Roman" w:cs="Times New Roman" w:eastAsia="Times New Roman" w:hAnsi="Times New Roman"/>
                <w:sz w:val="21"/>
                <w:szCs w:val="21"/>
                <w:color w:val="008000"/>
                <w:w w:val="90"/>
                <w:vertAlign w:val="superscript"/>
              </w:rPr>
              <w:t>(1)(2)(3)</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7"/>
              </w:rPr>
              <w:t>Investments,</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325"/>
        </w:trPr>
        <w:tc>
          <w:tcPr>
            <w:tcW w:w="13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7"/>
                <w:szCs w:val="17"/>
                <w:color w:val="0000FF"/>
                <w:w w:val="91"/>
              </w:rPr>
              <w:t>19,484,809</w:t>
            </w:r>
            <w:r>
              <w:rPr>
                <w:rFonts w:ascii="Times New Roman" w:cs="Times New Roman" w:eastAsia="Times New Roman" w:hAnsi="Times New Roman"/>
                <w:sz w:val="21"/>
                <w:szCs w:val="21"/>
                <w:color w:val="008000"/>
                <w:w w:val="91"/>
                <w:vertAlign w:val="superscript"/>
              </w:rPr>
              <w:t>(1)(2)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8"/>
              </w:rPr>
              <w:t>By Sujochil,</w:t>
            </w:r>
          </w:p>
        </w:tc>
        <w:tc>
          <w:tcPr>
            <w:tcW w:w="0" w:type="dxa"/>
            <w:vAlign w:val="bottom"/>
          </w:tcPr>
          <w:p>
            <w:pPr>
              <w:spacing w:after="0"/>
              <w:rPr>
                <w:sz w:val="1"/>
                <w:szCs w:val="1"/>
                <w:color w:val="auto"/>
              </w:rPr>
            </w:pPr>
          </w:p>
        </w:tc>
      </w:tr>
      <w:tr>
        <w:trPr>
          <w:trHeight w:val="168"/>
        </w:trPr>
        <w:tc>
          <w:tcPr>
            <w:tcW w:w="13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sectPr>
          <w:pgSz w:w="11900" w:h="16838" w:orient="portrait"/>
          <w:cols w:equalWidth="0" w:num="2">
            <w:col w:w="7200" w:space="720"/>
            <w:col w:w="3040"/>
          </w:cols>
          <w:pgMar w:left="460" w:top="217" w:right="479" w:bottom="624"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60"/>
          </w:cols>
          <w:pgMar w:left="460" w:top="217" w:right="479" w:bottom="62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7. 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140" w:type="dxa"/>
            <w:vAlign w:val="bottom"/>
            <w:gridSpan w:val="11"/>
          </w:tcPr>
          <w:p>
            <w:pPr>
              <w:jc w:val="center"/>
              <w:ind w:right="44"/>
              <w:spacing w:after="0" w:line="52" w:lineRule="exact"/>
              <w:rPr>
                <w:sz w:val="20"/>
                <w:szCs w:val="20"/>
                <w:color w:val="auto"/>
              </w:rPr>
            </w:pPr>
            <w:r>
              <w:rPr>
                <w:rFonts w:ascii="Arial" w:cs="Arial" w:eastAsia="Arial" w:hAnsi="Arial"/>
                <w:sz w:val="5"/>
                <w:szCs w:val="5"/>
                <w:b w:val="1"/>
                <w:bCs w:val="1"/>
                <w:color w:val="auto"/>
              </w:rPr>
              <w:t xml:space="preserve">Table II - Derivative Securities Acquired, Disposed of, or </w:t>
            </w:r>
            <w:r>
              <w:rPr>
                <w:rFonts w:ascii="Arial" w:cs="Arial" w:eastAsia="Arial" w:hAnsi="Arial"/>
                <w:sz w:val="4"/>
                <w:szCs w:val="4"/>
                <w:b w:val="1"/>
                <w:bCs w:val="1"/>
                <w:color w:val="auto"/>
              </w:rPr>
              <w:t>Beneficially</w:t>
            </w:r>
            <w:r>
              <w:rPr>
                <w:rFonts w:ascii="Arial" w:cs="Arial" w:eastAsia="Arial" w:hAnsi="Arial"/>
                <w:sz w:val="5"/>
                <w:szCs w:val="5"/>
                <w:b w:val="1"/>
                <w:bCs w:val="1"/>
                <w:color w:val="auto"/>
              </w:rPr>
              <w:t xml:space="preserve"> Owned</w:t>
            </w: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gridSpan w:val="2"/>
          </w:tcPr>
          <w:p>
            <w:pPr>
              <w:ind w:left="120"/>
              <w:spacing w:after="0" w:line="78" w:lineRule="exact"/>
              <w:rPr>
                <w:sz w:val="20"/>
                <w:szCs w:val="20"/>
                <w:color w:val="auto"/>
              </w:rPr>
            </w:pPr>
            <w:r>
              <w:rPr>
                <w:rFonts w:ascii="Arial" w:cs="Arial" w:eastAsia="Arial" w:hAnsi="Arial"/>
                <w:sz w:val="8"/>
                <w:szCs w:val="8"/>
                <w:b w:val="1"/>
                <w:bCs w:val="1"/>
                <w:color w:val="auto"/>
              </w:rPr>
              <w:t>Execution Date,</w:t>
            </w:r>
          </w:p>
        </w:tc>
        <w:tc>
          <w:tcPr>
            <w:tcW w:w="800" w:type="dxa"/>
            <w:vAlign w:val="bottom"/>
          </w:tcPr>
          <w:p>
            <w:pPr>
              <w:ind w:left="60"/>
              <w:spacing w:after="0" w:line="78" w:lineRule="exact"/>
              <w:rPr>
                <w:sz w:val="20"/>
                <w:szCs w:val="20"/>
                <w:color w:val="auto"/>
              </w:rPr>
            </w:pPr>
            <w:r>
              <w:rPr>
                <w:rFonts w:ascii="Arial" w:cs="Arial" w:eastAsia="Arial" w:hAnsi="Arial"/>
                <w:sz w:val="8"/>
                <w:szCs w:val="8"/>
                <w:b w:val="1"/>
                <w:bCs w:val="1"/>
                <w:color w:val="auto"/>
              </w:rPr>
              <w:t>Transaction</w:t>
            </w:r>
          </w:p>
        </w:tc>
        <w:tc>
          <w:tcPr>
            <w:tcW w:w="500" w:type="dxa"/>
            <w:vAlign w:val="bottom"/>
          </w:tcPr>
          <w:p>
            <w:pPr>
              <w:ind w:left="80"/>
              <w:spacing w:after="0" w:line="78"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480" w:type="dxa"/>
            <w:vAlign w:val="bottom"/>
            <w:gridSpan w:val="2"/>
          </w:tcPr>
          <w:p>
            <w:pPr>
              <w:ind w:left="60"/>
              <w:spacing w:after="0" w:line="78" w:lineRule="exact"/>
              <w:rPr>
                <w:sz w:val="20"/>
                <w:szCs w:val="20"/>
                <w:color w:val="auto"/>
              </w:rPr>
            </w:pPr>
            <w:r>
              <w:rPr>
                <w:rFonts w:ascii="Arial" w:cs="Arial" w:eastAsia="Arial" w:hAnsi="Arial"/>
                <w:sz w:val="8"/>
                <w:szCs w:val="8"/>
                <w:b w:val="1"/>
                <w:bCs w:val="1"/>
                <w:color w:val="auto"/>
              </w:rPr>
              <w:t>Expiration Date</w:t>
            </w:r>
          </w:p>
        </w:tc>
        <w:tc>
          <w:tcPr>
            <w:tcW w:w="1220" w:type="dxa"/>
            <w:vAlign w:val="bottom"/>
            <w:gridSpan w:val="3"/>
          </w:tcPr>
          <w:p>
            <w:pPr>
              <w:ind w:left="80"/>
              <w:spacing w:after="0" w:line="78" w:lineRule="exact"/>
              <w:rPr>
                <w:sz w:val="20"/>
                <w:szCs w:val="20"/>
                <w:color w:val="auto"/>
              </w:rPr>
            </w:pPr>
            <w:r>
              <w:rPr>
                <w:rFonts w:ascii="Arial" w:cs="Arial" w:eastAsia="Arial" w:hAnsi="Arial"/>
                <w:sz w:val="8"/>
                <w:szCs w:val="8"/>
                <w:b w:val="1"/>
                <w:bCs w:val="1"/>
                <w:color w:val="auto"/>
              </w:rPr>
              <w:t>of Securities</w:t>
            </w:r>
          </w:p>
        </w:tc>
        <w:tc>
          <w:tcPr>
            <w:tcW w:w="700" w:type="dxa"/>
            <w:vAlign w:val="bottom"/>
          </w:tcPr>
          <w:p>
            <w:pPr>
              <w:ind w:left="80"/>
              <w:spacing w:after="0" w:line="78" w:lineRule="exact"/>
              <w:rPr>
                <w:sz w:val="20"/>
                <w:szCs w:val="20"/>
                <w:color w:val="auto"/>
              </w:rPr>
            </w:pPr>
            <w:r>
              <w:rPr>
                <w:rFonts w:ascii="Arial" w:cs="Arial" w:eastAsia="Arial" w:hAnsi="Arial"/>
                <w:sz w:val="8"/>
                <w:szCs w:val="8"/>
                <w:b w:val="1"/>
                <w:bCs w:val="1"/>
                <w:color w:val="auto"/>
              </w:rPr>
              <w:t>Derivative</w:t>
            </w: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70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040" w:type="dxa"/>
            <w:vAlign w:val="bottom"/>
          </w:tcPr>
          <w:p>
            <w:pPr>
              <w:ind w:left="80"/>
              <w:spacing w:after="0"/>
              <w:rPr>
                <w:sz w:val="20"/>
                <w:szCs w:val="20"/>
                <w:color w:val="auto"/>
              </w:rPr>
            </w:pPr>
            <w:r>
              <w:rPr>
                <w:rFonts w:ascii="Arial" w:cs="Arial" w:eastAsia="Arial" w:hAnsi="Arial"/>
                <w:sz w:val="2"/>
                <w:szCs w:val="2"/>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2"/>
                <w:szCs w:val="2"/>
                <w:b w:val="1"/>
                <w:bCs w:val="1"/>
                <w:color w:val="auto"/>
              </w:rPr>
              <w:t>if any</w:t>
            </w:r>
          </w:p>
        </w:tc>
        <w:tc>
          <w:tcPr>
            <w:tcW w:w="4880" w:type="dxa"/>
            <w:vAlign w:val="bottom"/>
            <w:gridSpan w:val="9"/>
          </w:tcPr>
          <w:p>
            <w:pPr>
              <w:jc w:val="center"/>
              <w:ind w:left="3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Security</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Form:</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17"/>
        </w:trPr>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17"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(Mon h/Day/Year)</w:t>
            </w:r>
          </w:p>
        </w:tc>
        <w:tc>
          <w:tcPr>
            <w:tcW w:w="700" w:type="dxa"/>
            <w:vAlign w:val="bottom"/>
            <w:gridSpan w:val="2"/>
          </w:tcPr>
          <w:p>
            <w:pPr>
              <w:ind w:left="80"/>
              <w:spacing w:after="0" w:line="117"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 Title of</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3A. Deemed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line="117" w:lineRule="exact"/>
              <w:rPr>
                <w:sz w:val="20"/>
                <w:szCs w:val="20"/>
                <w:color w:val="auto"/>
              </w:rPr>
            </w:pPr>
            <w:r>
              <w:rPr>
                <w:rFonts w:ascii="Arial" w:cs="Arial" w:eastAsia="Arial" w:hAnsi="Arial"/>
                <w:sz w:val="12"/>
                <w:szCs w:val="12"/>
                <w:b w:val="1"/>
                <w:bCs w:val="1"/>
                <w:color w:val="auto"/>
              </w:rPr>
              <w:t>or</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03"/>
        </w:trPr>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220" w:type="dxa"/>
            <w:vAlign w:val="bottom"/>
            <w:gridSpan w:val="3"/>
          </w:tcPr>
          <w:p>
            <w:pPr>
              <w:ind w:left="80"/>
              <w:spacing w:after="0" w:line="104" w:lineRule="exact"/>
              <w:rPr>
                <w:sz w:val="20"/>
                <w:szCs w:val="20"/>
                <w:color w:val="auto"/>
              </w:rPr>
            </w:pPr>
            <w:r>
              <w:rPr>
                <w:rFonts w:ascii="Arial" w:cs="Arial" w:eastAsia="Arial" w:hAnsi="Arial"/>
                <w:sz w:val="10"/>
                <w:szCs w:val="10"/>
                <w:b w:val="1"/>
                <w:bCs w:val="1"/>
                <w:color w:val="auto"/>
              </w:rPr>
              <w:t>7. Title and Amount</w:t>
            </w:r>
          </w:p>
        </w:tc>
        <w:tc>
          <w:tcPr>
            <w:tcW w:w="7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7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vMerge w:val="restart"/>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2"/>
                <w:szCs w:val="2"/>
                <w:color w:val="auto"/>
              </w:rPr>
            </w:pPr>
          </w:p>
        </w:tc>
        <w:tc>
          <w:tcPr>
            <w:tcW w:w="14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0"/>
                <w:szCs w:val="20"/>
                <w:color w:val="auto"/>
              </w:rPr>
            </w:pPr>
            <w:r>
              <w:rPr>
                <w:rFonts w:ascii="Arial" w:cs="Arial" w:eastAsia="Arial" w:hAnsi="Arial"/>
                <w:sz w:val="2"/>
                <w:szCs w:val="2"/>
                <w:b w:val="1"/>
                <w:bCs w:val="1"/>
                <w:color w:val="auto"/>
              </w:rPr>
              <w:t>Number</w:t>
            </w:r>
          </w:p>
        </w:tc>
        <w:tc>
          <w:tcPr>
            <w:tcW w:w="7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line="20" w:lineRule="exact"/>
              <w:rPr>
                <w:sz w:val="1"/>
                <w:szCs w:val="1"/>
                <w:color w:val="auto"/>
              </w:rPr>
            </w:pPr>
          </w:p>
        </w:tc>
      </w:tr>
      <w:tr>
        <w:trPr>
          <w:trHeight w:val="103"/>
        </w:trPr>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220" w:type="dxa"/>
            <w:vAlign w:val="bottom"/>
            <w:gridSpan w:val="3"/>
          </w:tcPr>
          <w:p>
            <w:pPr>
              <w:ind w:left="80"/>
              <w:spacing w:after="0" w:line="104" w:lineRule="exact"/>
              <w:rPr>
                <w:sz w:val="20"/>
                <w:szCs w:val="20"/>
                <w:color w:val="auto"/>
              </w:rPr>
            </w:pPr>
            <w:r>
              <w:rPr>
                <w:rFonts w:ascii="Arial" w:cs="Arial" w:eastAsia="Arial" w:hAnsi="Arial"/>
                <w:sz w:val="10"/>
                <w:szCs w:val="10"/>
                <w:b w:val="1"/>
                <w:bCs w:val="1"/>
                <w:color w:val="auto"/>
              </w:rPr>
              <w:t>of Securities</w:t>
            </w:r>
          </w:p>
        </w:tc>
        <w:tc>
          <w:tcPr>
            <w:tcW w:w="7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7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vMerge w:val="restart"/>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2"/>
                <w:szCs w:val="2"/>
                <w:color w:val="auto"/>
              </w:rPr>
            </w:pPr>
          </w:p>
        </w:tc>
        <w:tc>
          <w:tcPr>
            <w:tcW w:w="8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rPr>
                <w:sz w:val="20"/>
                <w:szCs w:val="20"/>
                <w:color w:val="auto"/>
              </w:rPr>
            </w:pPr>
            <w:r>
              <w:rPr>
                <w:rFonts w:ascii="Arial" w:cs="Arial" w:eastAsia="Arial" w:hAnsi="Arial"/>
                <w:sz w:val="2"/>
                <w:szCs w:val="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2"/>
                <w:szCs w:val="2"/>
                <w:b w:val="1"/>
                <w:bCs w:val="1"/>
                <w:color w:val="auto"/>
              </w:rPr>
              <w:t>Expiration</w:t>
            </w:r>
          </w:p>
        </w:tc>
        <w:tc>
          <w:tcPr>
            <w:tcW w:w="7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20"/>
                <w:szCs w:val="20"/>
                <w:color w:val="auto"/>
              </w:rPr>
            </w:pPr>
            <w:r>
              <w:rPr>
                <w:rFonts w:ascii="Arial" w:cs="Arial" w:eastAsia="Arial" w:hAnsi="Arial"/>
                <w:sz w:val="2"/>
                <w:szCs w:val="2"/>
                <w:b w:val="1"/>
                <w:bCs w:val="1"/>
                <w:color w:val="auto"/>
              </w:rPr>
              <w:t>of</w:t>
            </w:r>
          </w:p>
        </w:tc>
        <w:tc>
          <w:tcPr>
            <w:tcW w:w="7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03"/>
        </w:trPr>
        <w:tc>
          <w:tcPr>
            <w:tcW w:w="7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80" w:type="dxa"/>
            <w:vAlign w:val="bottom"/>
            <w:gridSpan w:val="2"/>
          </w:tcPr>
          <w:p>
            <w:pPr>
              <w:ind w:left="60"/>
              <w:spacing w:after="0" w:line="104" w:lineRule="exact"/>
              <w:rPr>
                <w:sz w:val="20"/>
                <w:szCs w:val="20"/>
                <w:color w:val="auto"/>
              </w:rPr>
            </w:pPr>
            <w:r>
              <w:rPr>
                <w:rFonts w:ascii="Arial" w:cs="Arial" w:eastAsia="Arial" w:hAnsi="Arial"/>
                <w:sz w:val="10"/>
                <w:szCs w:val="10"/>
                <w:b w:val="1"/>
                <w:bCs w:val="1"/>
                <w:color w:val="auto"/>
              </w:rPr>
              <w:t>(Month/Day/Year)</w:t>
            </w:r>
          </w:p>
        </w:tc>
        <w:tc>
          <w:tcPr>
            <w:tcW w:w="700" w:type="dxa"/>
            <w:vAlign w:val="bottom"/>
            <w:gridSpan w:val="2"/>
            <w:vMerge w:val="continue"/>
          </w:tcPr>
          <w:p>
            <w:pPr>
              <w:spacing w:after="0"/>
              <w:rPr>
                <w:sz w:val="8"/>
                <w:szCs w:val="8"/>
                <w:color w:val="auto"/>
              </w:rPr>
            </w:pPr>
          </w:p>
        </w:tc>
        <w:tc>
          <w:tcPr>
            <w:tcW w:w="5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rPr>
              <w:t>Shares</w:t>
            </w:r>
          </w:p>
        </w:tc>
        <w:tc>
          <w:tcPr>
            <w:tcW w:w="7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ind w:left="480"/>
              <w:spacing w:after="0"/>
              <w:rPr>
                <w:sz w:val="20"/>
                <w:szCs w:val="20"/>
                <w:color w:val="auto"/>
              </w:rPr>
            </w:pPr>
            <w:r>
              <w:rPr>
                <w:rFonts w:ascii="Arial" w:cs="Arial" w:eastAsia="Arial" w:hAnsi="Arial"/>
                <w:sz w:val="2"/>
                <w:szCs w:val="2"/>
                <w:b w:val="1"/>
                <w:bCs w:val="1"/>
                <w:color w:val="auto"/>
              </w:rPr>
              <w:t>V</w:t>
            </w:r>
          </w:p>
        </w:tc>
        <w:tc>
          <w:tcPr>
            <w:tcW w:w="500" w:type="dxa"/>
            <w:vAlign w:val="bottom"/>
          </w:tcPr>
          <w:p>
            <w:pPr>
              <w:ind w:left="80"/>
              <w:spacing w:after="0"/>
              <w:rPr>
                <w:sz w:val="20"/>
                <w:szCs w:val="20"/>
                <w:color w:val="auto"/>
              </w:rPr>
            </w:pPr>
            <w:r>
              <w:rPr>
                <w:rFonts w:ascii="Arial" w:cs="Arial" w:eastAsia="Arial" w:hAnsi="Arial"/>
                <w:sz w:val="2"/>
                <w:szCs w:val="2"/>
                <w:b w:val="1"/>
                <w:bCs w:val="1"/>
                <w:color w:val="auto"/>
              </w:rPr>
              <w:t>(A)</w:t>
            </w:r>
          </w:p>
        </w:tc>
        <w:tc>
          <w:tcPr>
            <w:tcW w:w="300" w:type="dxa"/>
            <w:vAlign w:val="bottom"/>
          </w:tcPr>
          <w:p>
            <w:pPr>
              <w:ind w:left="60"/>
              <w:spacing w:after="0"/>
              <w:rPr>
                <w:sz w:val="20"/>
                <w:szCs w:val="20"/>
                <w:color w:val="auto"/>
              </w:rPr>
            </w:pPr>
            <w:r>
              <w:rPr>
                <w:rFonts w:ascii="Arial" w:cs="Arial" w:eastAsia="Arial" w:hAnsi="Arial"/>
                <w:sz w:val="2"/>
                <w:szCs w:val="2"/>
                <w:b w:val="1"/>
                <w:bCs w:val="1"/>
                <w:color w:val="auto"/>
              </w:rPr>
              <w:t>(D)</w:t>
            </w:r>
          </w:p>
        </w:tc>
        <w:tc>
          <w:tcPr>
            <w:tcW w:w="780" w:type="dxa"/>
            <w:vAlign w:val="bottom"/>
          </w:tcPr>
          <w:p>
            <w:pPr>
              <w:ind w:left="60"/>
              <w:spacing w:after="0"/>
              <w:rPr>
                <w:sz w:val="20"/>
                <w:szCs w:val="20"/>
                <w:color w:val="auto"/>
              </w:rPr>
            </w:pPr>
            <w:r>
              <w:rPr>
                <w:rFonts w:ascii="Arial" w:cs="Arial" w:eastAsia="Arial" w:hAnsi="Arial"/>
                <w:sz w:val="2"/>
                <w:szCs w:val="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2"/>
                <w:szCs w:val="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2"/>
                <w:szCs w:val="2"/>
                <w:b w:val="1"/>
                <w:bCs w:val="1"/>
                <w:color w:val="auto"/>
              </w:rPr>
              <w:t>Title</w:t>
            </w:r>
          </w:p>
        </w:tc>
        <w:tc>
          <w:tcPr>
            <w:tcW w:w="1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70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0"/>
                <w:szCs w:val="10"/>
                <w:color w:val="auto"/>
              </w:rPr>
            </w:pPr>
          </w:p>
        </w:tc>
        <w:tc>
          <w:tcPr>
            <w:tcW w:w="1140" w:type="dxa"/>
            <w:vAlign w:val="bottom"/>
            <w:gridSpan w:val="2"/>
          </w:tcPr>
          <w:p>
            <w:pPr>
              <w:ind w:left="120"/>
              <w:spacing w:after="0" w:line="11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1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1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80"/>
              <w:spacing w:after="0" w:line="115"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1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56"/>
        </w:trPr>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Acquired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54"/>
              <w:spacing w:after="0"/>
              <w:rPr>
                <w:sz w:val="20"/>
                <w:szCs w:val="20"/>
                <w:color w:val="auto"/>
              </w:rPr>
            </w:pPr>
            <w:r>
              <w:rPr>
                <w:rFonts w:ascii="Times New Roman" w:cs="Times New Roman" w:eastAsia="Times New Roman" w:hAnsi="Times New Roman"/>
                <w:sz w:val="11"/>
                <w:szCs w:val="11"/>
                <w:color w:val="008000"/>
              </w:rPr>
              <w:t>(4)</w:t>
            </w: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90"/>
        </w:trPr>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Security</w:t>
            </w:r>
            <w:r>
              <w:rPr>
                <w:rFonts w:ascii="Times New Roman" w:cs="Times New Roman" w:eastAsia="Times New Roman" w:hAnsi="Times New Roman"/>
                <w:sz w:val="9"/>
                <w:szCs w:val="9"/>
                <w:color w:val="008000"/>
              </w:rPr>
              <w:t>(4)</w:t>
            </w: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(A) or</w:t>
            </w:r>
          </w:p>
        </w:tc>
        <w:tc>
          <w:tcPr>
            <w:tcW w:w="3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tcPr>
          <w:p>
            <w:pPr>
              <w:ind w:left="80"/>
              <w:spacing w:after="0" w:line="91" w:lineRule="exact"/>
              <w:rPr>
                <w:sz w:val="20"/>
                <w:szCs w:val="20"/>
                <w:color w:val="auto"/>
              </w:rPr>
            </w:pPr>
            <w:r>
              <w:rPr>
                <w:rFonts w:ascii="Times New Roman" w:cs="Times New Roman" w:eastAsia="Times New Roman" w:hAnsi="Times New Roman"/>
                <w:sz w:val="10"/>
                <w:szCs w:val="10"/>
                <w:color w:val="0000FF"/>
              </w:rPr>
              <w:t>Common</w:t>
            </w:r>
          </w:p>
        </w:tc>
        <w:tc>
          <w:tcPr>
            <w:tcW w:w="120" w:type="dxa"/>
            <w:vAlign w:val="bottom"/>
          </w:tcPr>
          <w:p>
            <w:pPr>
              <w:spacing w:after="0"/>
              <w:rPr>
                <w:sz w:val="7"/>
                <w:szCs w:val="7"/>
                <w:color w:val="auto"/>
              </w:rPr>
            </w:pPr>
          </w:p>
        </w:tc>
        <w:tc>
          <w:tcPr>
            <w:tcW w:w="52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2.5166</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Following</w:t>
            </w:r>
          </w:p>
        </w:tc>
        <w:tc>
          <w:tcPr>
            <w:tcW w:w="720" w:type="dxa"/>
            <w:vAlign w:val="bottom"/>
          </w:tcPr>
          <w:p>
            <w:pPr>
              <w:ind w:left="60"/>
              <w:spacing w:after="0" w:line="91" w:lineRule="exact"/>
              <w:rPr>
                <w:sz w:val="20"/>
                <w:szCs w:val="20"/>
                <w:color w:val="auto"/>
              </w:rPr>
            </w:pPr>
            <w:r>
              <w:rPr>
                <w:rFonts w:ascii="Arial" w:cs="Arial" w:eastAsia="Arial" w:hAnsi="Arial"/>
                <w:sz w:val="10"/>
                <w:szCs w:val="10"/>
                <w:b w:val="1"/>
                <w:bCs w:val="1"/>
                <w:color w:val="auto"/>
              </w:rPr>
              <w:t>(I) (Instr. 4)</w:t>
            </w: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700" w:type="dxa"/>
            <w:vAlign w:val="bottom"/>
            <w:vMerge w:val="continue"/>
          </w:tcPr>
          <w:p>
            <w:pPr>
              <w:spacing w:after="0"/>
              <w:rPr>
                <w:sz w:val="4"/>
                <w:szCs w:val="4"/>
                <w:color w:val="auto"/>
              </w:rPr>
            </w:pPr>
          </w:p>
        </w:tc>
        <w:tc>
          <w:tcPr>
            <w:tcW w:w="780" w:type="dxa"/>
            <w:vAlign w:val="bottom"/>
          </w:tcPr>
          <w:p>
            <w:pPr>
              <w:ind w:left="280"/>
              <w:spacing w:after="0" w:line="52" w:lineRule="exact"/>
              <w:rPr>
                <w:sz w:val="20"/>
                <w:szCs w:val="20"/>
                <w:color w:val="auto"/>
              </w:rPr>
            </w:pPr>
            <w:r>
              <w:rPr>
                <w:rFonts w:ascii="Arial" w:cs="Arial" w:eastAsia="Arial" w:hAnsi="Arial"/>
                <w:sz w:val="5"/>
                <w:szCs w:val="5"/>
                <w:color w:val="auto"/>
              </w:rPr>
              <w:t>$</w:t>
            </w:r>
            <w:r>
              <w:rPr>
                <w:rFonts w:ascii="Times New Roman" w:cs="Times New Roman" w:eastAsia="Times New Roman" w:hAnsi="Times New Roman"/>
                <w:sz w:val="5"/>
                <w:szCs w:val="5"/>
                <w:color w:val="0000FF"/>
              </w:rPr>
              <w:t>0</w:t>
            </w:r>
          </w:p>
        </w:tc>
        <w:tc>
          <w:tcPr>
            <w:tcW w:w="10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tcPr>
          <w:p>
            <w:pPr>
              <w:ind w:left="80"/>
              <w:spacing w:after="0" w:line="52" w:lineRule="exact"/>
              <w:rPr>
                <w:sz w:val="20"/>
                <w:szCs w:val="20"/>
                <w:color w:val="auto"/>
              </w:rPr>
            </w:pPr>
            <w:r>
              <w:rPr>
                <w:rFonts w:ascii="Times New Roman" w:cs="Times New Roman" w:eastAsia="Times New Roman" w:hAnsi="Times New Roman"/>
                <w:sz w:val="5"/>
                <w:szCs w:val="5"/>
                <w:color w:val="0000FF"/>
              </w:rPr>
              <w:t>2.5166</w:t>
            </w: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tcPr>
          <w:p>
            <w:pPr>
              <w:ind w:left="180"/>
              <w:spacing w:after="0" w:line="52" w:lineRule="exact"/>
              <w:rPr>
                <w:sz w:val="20"/>
                <w:szCs w:val="20"/>
                <w:color w:val="auto"/>
              </w:rPr>
            </w:pPr>
            <w:r>
              <w:rPr>
                <w:rFonts w:ascii="Times New Roman" w:cs="Times New Roman" w:eastAsia="Times New Roman" w:hAnsi="Times New Roman"/>
                <w:sz w:val="5"/>
                <w:szCs w:val="5"/>
                <w:color w:val="0000FF"/>
              </w:rPr>
              <w:t>2,615.5166</w:t>
            </w:r>
          </w:p>
        </w:tc>
        <w:tc>
          <w:tcPr>
            <w:tcW w:w="720" w:type="dxa"/>
            <w:vAlign w:val="bottom"/>
          </w:tcPr>
          <w:p>
            <w:pPr>
              <w:ind w:left="320"/>
              <w:spacing w:after="0" w:line="52" w:lineRule="exact"/>
              <w:rPr>
                <w:sz w:val="20"/>
                <w:szCs w:val="20"/>
                <w:color w:val="auto"/>
              </w:rPr>
            </w:pPr>
            <w:r>
              <w:rPr>
                <w:rFonts w:ascii="Times New Roman" w:cs="Times New Roman" w:eastAsia="Times New Roman" w:hAnsi="Times New Roman"/>
                <w:sz w:val="5"/>
                <w:szCs w:val="5"/>
                <w:color w:val="0000FF"/>
              </w:rPr>
              <w:t>D</w:t>
            </w: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Disposed</w:t>
            </w: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Reported</w:t>
            </w: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vMerge w:val="continue"/>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vMerge w:val="continue"/>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520" w:type="dxa"/>
            <w:vAlign w:val="bottom"/>
            <w:gridSpan w:val="3"/>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291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291715"/>
                    </a:xfrm>
                    <a:prstGeom prst="rect">
                      <a:avLst/>
                    </a:prstGeom>
                    <a:noFill/>
                  </pic:spPr>
                </pic:pic>
              </a:graphicData>
            </a:graphic>
          </wp:anchor>
        </w:drawing>
      </w:r>
    </w:p>
    <w:p>
      <w:pPr>
        <w:ind w:left="40" w:right="260"/>
        <w:spacing w:after="0" w:line="245" w:lineRule="auto"/>
        <w:rPr>
          <w:sz w:val="20"/>
          <w:szCs w:val="20"/>
          <w:color w:val="auto"/>
        </w:rPr>
      </w:pPr>
      <w:r>
        <w:rPr>
          <w:rFonts w:ascii="Times New Roman" w:cs="Times New Roman" w:eastAsia="Times New Roman" w:hAnsi="Times New Roman"/>
          <w:sz w:val="12"/>
          <w:szCs w:val="12"/>
          <w:color w:val="008000"/>
        </w:rPr>
        <w:t>1. The Reporting Person is (i) a trustee of trusts for the benefit of her immediate family members (other than grantor retained annuity trusts ("GRATs"))</w:t>
      </w:r>
      <w:r>
        <w:rPr>
          <w:rFonts w:ascii="Arial" w:cs="Arial" w:eastAsia="Arial" w:hAnsi="Arial"/>
          <w:sz w:val="10"/>
          <w:szCs w:val="10"/>
          <w:b w:val="1"/>
          <w:bCs w:val="1"/>
          <w:color w:val="000000"/>
        </w:rPr>
        <w:t>Amount</w:t>
      </w:r>
      <w:r>
        <w:rPr>
          <w:rFonts w:ascii="Times New Roman" w:cs="Times New Roman" w:eastAsia="Times New Roman" w:hAnsi="Times New Roman"/>
          <w:sz w:val="12"/>
          <w:szCs w:val="12"/>
          <w:color w:val="008000"/>
        </w:rPr>
        <w:t xml:space="preserve"> which own 3,713,610 shares of the Common Stock of Amkor Technology, Inc. (the "Issuer"); (ii) a trustee of GRATs for the benefit of members of her immediate family which own 7,912,594 shares</w:t>
      </w:r>
      <w:r>
        <w:rPr>
          <w:rFonts w:ascii="Arial" w:cs="Arial" w:eastAsia="Arial" w:hAnsi="Arial"/>
          <w:sz w:val="10"/>
          <w:szCs w:val="10"/>
          <w:b w:val="1"/>
          <w:bCs w:val="1"/>
          <w:color w:val="000000"/>
        </w:rPr>
        <w:t>or</w:t>
      </w:r>
      <w:r>
        <w:rPr>
          <w:rFonts w:ascii="Times New Roman" w:cs="Times New Roman" w:eastAsia="Times New Roman" w:hAnsi="Times New Roman"/>
          <w:sz w:val="12"/>
          <w:szCs w:val="12"/>
          <w:color w:val="008000"/>
        </w:rPr>
        <w:t>of the Issuer's Common Stock; (iii) a trustee of GRATs of which</w:t>
      </w:r>
    </w:p>
    <w:p>
      <w:pPr>
        <w:ind w:left="40"/>
        <w:spacing w:after="0"/>
        <w:rPr>
          <w:sz w:val="20"/>
          <w:szCs w:val="20"/>
          <w:color w:val="auto"/>
        </w:rPr>
      </w:pPr>
      <w:r>
        <w:rPr>
          <w:rFonts w:ascii="Times New Roman" w:cs="Times New Roman" w:eastAsia="Times New Roman" w:hAnsi="Times New Roman"/>
          <w:sz w:val="12"/>
          <w:szCs w:val="12"/>
          <w:color w:val="008000"/>
        </w:rPr>
        <w:t xml:space="preserve">the Reporting Person was the settlor and is the sole annuitant which own 1,124,000 shares of the Issuer's Common Stock; (iv) a general partner </w:t>
      </w:r>
      <w:r>
        <w:rPr>
          <w:rFonts w:ascii="Arial" w:cs="Arial" w:eastAsia="Arial" w:hAnsi="Arial"/>
          <w:sz w:val="10"/>
          <w:szCs w:val="10"/>
          <w:b w:val="1"/>
          <w:bCs w:val="1"/>
          <w:color w:val="000000"/>
        </w:rPr>
        <w:t>Number</w:t>
      </w:r>
      <w:r>
        <w:rPr>
          <w:rFonts w:ascii="Times New Roman" w:cs="Times New Roman" w:eastAsia="Times New Roman" w:hAnsi="Times New Roman"/>
          <w:sz w:val="12"/>
          <w:szCs w:val="12"/>
          <w:color w:val="008000"/>
        </w:rPr>
        <w:t>ofalimited partnership (Sujochil, LP) which owns 19,484,809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shares of the Issuer's Common Stock; and (v) a member of Sujoda Management, LLC, which indirectly</w:t>
      </w:r>
      <w:r>
        <w:rPr>
          <w:rFonts w:ascii="Arial" w:cs="Arial" w:eastAsia="Arial" w:hAnsi="Arial"/>
          <w:sz w:val="10"/>
          <w:szCs w:val="10"/>
          <w:b w:val="1"/>
          <w:bCs w:val="1"/>
          <w:color w:val="000000"/>
        </w:rPr>
        <w:t>Date</w:t>
      </w:r>
      <w:r>
        <w:rPr>
          <w:rFonts w:ascii="Times New Roman" w:cs="Times New Roman" w:eastAsia="Times New Roman" w:hAnsi="Times New Roman"/>
          <w:sz w:val="12"/>
          <w:szCs w:val="12"/>
          <w:color w:val="008000"/>
        </w:rPr>
        <w:t>owns 3,789,479</w:t>
      </w:r>
      <w:r>
        <w:rPr>
          <w:rFonts w:ascii="Arial" w:cs="Arial" w:eastAsia="Arial" w:hAnsi="Arial"/>
          <w:sz w:val="10"/>
          <w:szCs w:val="10"/>
          <w:b w:val="1"/>
          <w:bCs w:val="1"/>
          <w:color w:val="000000"/>
        </w:rPr>
        <w:t>Expiration</w:t>
      </w:r>
      <w:r>
        <w:rPr>
          <w:rFonts w:ascii="Times New Roman" w:cs="Times New Roman" w:eastAsia="Times New Roman" w:hAnsi="Times New Roman"/>
          <w:sz w:val="12"/>
          <w:szCs w:val="12"/>
          <w:color w:val="008000"/>
        </w:rPr>
        <w:t>sharesof the Issuer's Common</w:t>
      </w:r>
      <w:r>
        <w:rPr>
          <w:rFonts w:ascii="Arial" w:cs="Arial" w:eastAsia="Arial" w:hAnsi="Arial"/>
          <w:sz w:val="10"/>
          <w:szCs w:val="10"/>
          <w:b w:val="1"/>
          <w:bCs w:val="1"/>
          <w:color w:val="000000"/>
        </w:rPr>
        <w:t>of</w:t>
      </w:r>
      <w:r>
        <w:rPr>
          <w:rFonts w:ascii="Times New Roman" w:cs="Times New Roman" w:eastAsia="Times New Roman" w:hAnsi="Times New Roman"/>
          <w:sz w:val="12"/>
          <w:szCs w:val="12"/>
          <w:color w:val="008000"/>
        </w:rPr>
        <w:t xml:space="preserve"> Stock. Pursuant to the Form 4 instructions, the Reporting</w:t>
      </w:r>
    </w:p>
    <w:p>
      <w:pPr>
        <w:ind w:left="40"/>
        <w:spacing w:after="0" w:line="228" w:lineRule="auto"/>
        <w:tabs>
          <w:tab w:leader="none" w:pos="4120" w:val="left"/>
          <w:tab w:leader="none" w:pos="4520" w:val="left"/>
          <w:tab w:leader="none" w:pos="5000" w:val="left"/>
          <w:tab w:leader="none" w:pos="5300" w:val="left"/>
          <w:tab w:leader="none" w:pos="6080" w:val="left"/>
          <w:tab w:leader="none" w:pos="6800" w:val="left"/>
          <w:tab w:leader="none" w:pos="7420" w:val="left"/>
        </w:tabs>
        <w:rPr>
          <w:sz w:val="20"/>
          <w:szCs w:val="20"/>
          <w:color w:val="auto"/>
        </w:rPr>
      </w:pPr>
      <w:r>
        <w:rPr>
          <w:rFonts w:ascii="Times New Roman" w:cs="Times New Roman" w:eastAsia="Times New Roman" w:hAnsi="Times New Roman"/>
          <w:sz w:val="13"/>
          <w:szCs w:val="13"/>
          <w:color w:val="008000"/>
        </w:rPr>
        <w:t>Person is being treated as having a pecuniary interest in all of such shares.</w:t>
      </w:r>
      <w:r>
        <w:rPr>
          <w:rFonts w:ascii="Arial" w:cs="Arial" w:eastAsia="Arial" w:hAnsi="Arial"/>
          <w:sz w:val="11"/>
          <w:szCs w:val="11"/>
          <w:b w:val="1"/>
          <w:bCs w:val="1"/>
          <w:color w:val="000000"/>
        </w:rPr>
        <w:t>Code</w:t>
      </w:r>
      <w:r>
        <w:rPr>
          <w:sz w:val="20"/>
          <w:szCs w:val="20"/>
          <w:color w:val="auto"/>
        </w:rPr>
        <w:tab/>
      </w:r>
      <w:r>
        <w:rPr>
          <w:rFonts w:ascii="Arial" w:cs="Arial" w:eastAsia="Arial" w:hAnsi="Arial"/>
          <w:sz w:val="12"/>
          <w:szCs w:val="12"/>
          <w:b w:val="1"/>
          <w:bCs w:val="1"/>
          <w:color w:val="auto"/>
        </w:rPr>
        <w:t>V</w:t>
      </w:r>
      <w:r>
        <w:rPr>
          <w:sz w:val="20"/>
          <w:szCs w:val="20"/>
          <w:color w:val="auto"/>
        </w:rPr>
        <w:tab/>
      </w:r>
      <w:r>
        <w:rPr>
          <w:rFonts w:ascii="Arial" w:cs="Arial" w:eastAsia="Arial" w:hAnsi="Arial"/>
          <w:sz w:val="12"/>
          <w:szCs w:val="12"/>
          <w:b w:val="1"/>
          <w:bCs w:val="1"/>
          <w:color w:val="auto"/>
        </w:rPr>
        <w:t>(A)</w:t>
      </w:r>
      <w:r>
        <w:rPr>
          <w:sz w:val="20"/>
          <w:szCs w:val="20"/>
          <w:color w:val="auto"/>
        </w:rPr>
        <w:tab/>
      </w:r>
      <w:r>
        <w:rPr>
          <w:rFonts w:ascii="Arial" w:cs="Arial" w:eastAsia="Arial" w:hAnsi="Arial"/>
          <w:sz w:val="12"/>
          <w:szCs w:val="12"/>
          <w:b w:val="1"/>
          <w:bCs w:val="1"/>
          <w:color w:val="auto"/>
        </w:rPr>
        <w:t>(D)</w:t>
        <w:tab/>
        <w:t>Exercisable</w:t>
        <w:tab/>
        <w:t>Date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0"/>
          <w:szCs w:val="10"/>
          <w:b w:val="1"/>
          <w:bCs w:val="1"/>
          <w:color w:val="auto"/>
        </w:rPr>
        <w:t>Shares</w:t>
      </w:r>
    </w:p>
    <w:p>
      <w:pPr>
        <w:spacing w:after="0" w:line="30" w:lineRule="exact"/>
        <w:rPr>
          <w:sz w:val="20"/>
          <w:szCs w:val="20"/>
          <w:color w:val="auto"/>
        </w:rPr>
      </w:pPr>
    </w:p>
    <w:p>
      <w:pPr>
        <w:ind w:left="40" w:right="4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the Reporting Person's pecuniary interest therein, and this report shall not be deemed an admission that the Reporting Person is the beneficial owner of such securities, except to the extent of the Reporting Person's pecuniary interest therein, for purposes of Section 16 of the Securities Exchange Act of 1934, as amended ("Section 16"), or for any other purpose.</w:t>
      </w:r>
    </w:p>
    <w:p>
      <w:pPr>
        <w:spacing w:after="0" w:line="25" w:lineRule="exact"/>
        <w:rPr>
          <w:rFonts w:ascii="Times New Roman" w:cs="Times New Roman" w:eastAsia="Times New Roman" w:hAnsi="Times New Roman"/>
          <w:sz w:val="13"/>
          <w:szCs w:val="13"/>
          <w:color w:val="008000"/>
        </w:rPr>
      </w:pPr>
    </w:p>
    <w:p>
      <w:pPr>
        <w:jc w:val="both"/>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sole general partner of Sujoda Investments, LP is Sujoda Management, LLC. The Reporting Person is one of three members of Sujoda Management, LLC. Sujoda Management, LLC is being treated as a limited partnership for purposes of Section 16, and pursuant to the Form 4 instructions, the Reporting Person has elected to treat all of the shares of the Issuer's Common Stock owned by Sujoda Investments, LP as beneficially owned by the Reporting Person.</w:t>
      </w:r>
    </w:p>
    <w:p>
      <w:pPr>
        <w:spacing w:after="0" w:line="25" w:lineRule="exact"/>
        <w:rPr>
          <w:rFonts w:ascii="Times New Roman" w:cs="Times New Roman" w:eastAsia="Times New Roman" w:hAnsi="Times New Roman"/>
          <w:sz w:val="13"/>
          <w:szCs w:val="13"/>
          <w:color w:val="008000"/>
        </w:rPr>
      </w:pPr>
    </w:p>
    <w:p>
      <w:pPr>
        <w:ind w:left="40" w:right="4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accrued upon the payment of a dividend on June 23, 2026 with respect to time-vested restricted stock units ("RSUs") of the Issuer granted to the Reporting Person on May 13, 2026. Each DEU represents an additional RSU subject to the same provisions as the RSU with respect to which the DEU was accrued.</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420" w:firstLine="2"/>
        <w:spacing w:after="0" w:line="256" w:lineRule="auto"/>
        <w:tabs>
          <w:tab w:leader="none" w:pos="22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states that the filing of this Form 4 shall not be deemed an admission that the Reporting Person is the beneficial owner of the reported securities owned by the other members of the group, for the purpose.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N. Rogers, Attorney-</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6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6"/>
              </w:rPr>
              <w:t>in-Fact for Susan Y. Kim</w:t>
            </w:r>
          </w:p>
        </w:tc>
        <w:tc>
          <w:tcPr>
            <w:tcW w:w="5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58922"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2026-06-25T16:38:34Z</dcterms:created>
  <dcterms:modified xsi:type="dcterms:W3CDTF">2026-06-25T16:38:34Z</dcterms:modified>
</cp:coreProperties>
</file>