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599440</wp:posOffset>
            </wp:positionH>
            <wp:positionV relativeFrom="page">
              <wp:posOffset>753745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712470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3" w:lineRule="exact"/>
        <w:rPr>
          <w:sz w:val="24"/>
          <w:szCs w:val="24"/>
          <w:color w:val="auto"/>
        </w:rPr>
      </w:pPr>
    </w:p>
    <w:p>
      <w:pPr>
        <w:ind w:left="2080" w:right="2500" w:hanging="851"/>
        <w:spacing w:after="0" w:line="237" w:lineRule="auto"/>
        <w:tabs>
          <w:tab w:leader="none" w:pos="20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0"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2026</w:t>
      </w:r>
    </w:p>
    <w:p>
      <w:pPr>
        <w:spacing w:after="0" w:line="76"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67" w:lineRule="exact"/>
        <w:rPr>
          <w:sz w:val="24"/>
          <w:szCs w:val="24"/>
          <w:color w:val="auto"/>
        </w:rPr>
      </w:pPr>
    </w:p>
    <w:p>
      <w:pPr>
        <w:ind w:left="2080" w:right="2480" w:hanging="851"/>
        <w:spacing w:after="0" w:line="237" w:lineRule="auto"/>
        <w:tabs>
          <w:tab w:leader="none" w:pos="20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0" w:lineRule="exact"/>
        <w:rPr>
          <w:sz w:val="24"/>
          <w:szCs w:val="24"/>
          <w:color w:val="auto"/>
        </w:rPr>
      </w:pPr>
    </w:p>
    <w:p>
      <w:pPr>
        <w:ind w:left="2080"/>
        <w:spacing w:after="0"/>
        <w:tabs>
          <w:tab w:leader="none" w:pos="47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000-29472</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AMKOR TECHNOLOGY,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900" w:type="dxa"/>
            <w:vAlign w:val="bottom"/>
          </w:tcPr>
          <w:p>
            <w:pPr>
              <w:jc w:val="center"/>
              <w:ind w:left="418"/>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900" w:type="dxa"/>
            <w:vAlign w:val="bottom"/>
          </w:tcPr>
          <w:p>
            <w:pPr>
              <w:spacing w:after="0"/>
              <w:rPr>
                <w:sz w:val="19"/>
                <w:szCs w:val="19"/>
                <w:color w:val="auto"/>
              </w:rPr>
            </w:pPr>
          </w:p>
        </w:tc>
        <w:tc>
          <w:tcPr>
            <w:tcW w:w="4440" w:type="dxa"/>
            <w:vAlign w:val="bottom"/>
          </w:tcPr>
          <w:p>
            <w:pPr>
              <w:jc w:val="right"/>
              <w:ind w:right="1758"/>
              <w:spacing w:after="0"/>
              <w:rPr>
                <w:sz w:val="20"/>
                <w:szCs w:val="20"/>
                <w:color w:val="auto"/>
              </w:rPr>
            </w:pPr>
            <w:r>
              <w:rPr>
                <w:rFonts w:ascii="Times New Roman" w:cs="Times New Roman" w:eastAsia="Times New Roman" w:hAnsi="Times New Roman"/>
                <w:sz w:val="17"/>
                <w:szCs w:val="17"/>
                <w:b w:val="1"/>
                <w:bCs w:val="1"/>
                <w:color w:val="auto"/>
              </w:rPr>
              <w:t>23-1722724</w:t>
            </w:r>
          </w:p>
        </w:tc>
      </w:tr>
      <w:tr>
        <w:trPr>
          <w:trHeight w:val="184"/>
        </w:trPr>
        <w:tc>
          <w:tcPr>
            <w:tcW w:w="3900" w:type="dxa"/>
            <w:vAlign w:val="bottom"/>
          </w:tcPr>
          <w:p>
            <w:pPr>
              <w:jc w:val="center"/>
              <w:ind w:left="418"/>
              <w:spacing w:after="0"/>
              <w:rPr>
                <w:sz w:val="20"/>
                <w:szCs w:val="20"/>
                <w:color w:val="auto"/>
              </w:rPr>
            </w:pPr>
            <w:r>
              <w:rPr>
                <w:rFonts w:ascii="Times New Roman" w:cs="Times New Roman" w:eastAsia="Times New Roman" w:hAnsi="Times New Roman"/>
                <w:sz w:val="14"/>
                <w:szCs w:val="14"/>
                <w:i w:val="1"/>
                <w:iCs w:val="1"/>
                <w:color w:val="auto"/>
                <w:w w:val="98"/>
              </w:rPr>
              <w:t>(State or other jurisdiction of incorporation or organization)</w:t>
            </w:r>
          </w:p>
        </w:tc>
        <w:tc>
          <w:tcPr>
            <w:tcW w:w="290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w w:val="98"/>
              </w:rPr>
              <w:t>(I.R.S. Employer Identification Number)</w:t>
            </w:r>
          </w:p>
        </w:tc>
      </w:tr>
      <w:tr>
        <w:trPr>
          <w:trHeight w:val="286"/>
        </w:trPr>
        <w:tc>
          <w:tcPr>
            <w:tcW w:w="3900" w:type="dxa"/>
            <w:vAlign w:val="bottom"/>
          </w:tcPr>
          <w:p>
            <w:pPr>
              <w:spacing w:after="0"/>
              <w:rPr>
                <w:sz w:val="24"/>
                <w:szCs w:val="24"/>
                <w:color w:val="auto"/>
              </w:rPr>
            </w:pPr>
          </w:p>
        </w:tc>
        <w:tc>
          <w:tcPr>
            <w:tcW w:w="2900" w:type="dxa"/>
            <w:vAlign w:val="bottom"/>
          </w:tcPr>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2045 East Innovation Circle</w:t>
            </w:r>
          </w:p>
        </w:tc>
        <w:tc>
          <w:tcPr>
            <w:tcW w:w="4440" w:type="dxa"/>
            <w:vAlign w:val="bottom"/>
          </w:tcPr>
          <w:p>
            <w:pPr>
              <w:spacing w:after="0"/>
              <w:rPr>
                <w:sz w:val="24"/>
                <w:szCs w:val="24"/>
                <w:color w:val="auto"/>
              </w:rPr>
            </w:pPr>
          </w:p>
        </w:tc>
      </w:tr>
      <w:tr>
        <w:trPr>
          <w:trHeight w:val="203"/>
        </w:trPr>
        <w:tc>
          <w:tcPr>
            <w:tcW w:w="3900" w:type="dxa"/>
            <w:vAlign w:val="bottom"/>
          </w:tcPr>
          <w:p>
            <w:pPr>
              <w:spacing w:after="0"/>
              <w:rPr>
                <w:sz w:val="17"/>
                <w:szCs w:val="17"/>
                <w:color w:val="auto"/>
              </w:rPr>
            </w:pPr>
          </w:p>
        </w:tc>
        <w:tc>
          <w:tcPr>
            <w:tcW w:w="2900" w:type="dxa"/>
            <w:vAlign w:val="bottom"/>
          </w:tcPr>
          <w:p>
            <w:pPr>
              <w:jc w:val="center"/>
              <w:ind w:left="460"/>
              <w:spacing w:after="0"/>
              <w:rPr>
                <w:sz w:val="20"/>
                <w:szCs w:val="20"/>
                <w:color w:val="auto"/>
              </w:rPr>
            </w:pPr>
            <w:r>
              <w:rPr>
                <w:rFonts w:ascii="Times New Roman" w:cs="Times New Roman" w:eastAsia="Times New Roman" w:hAnsi="Times New Roman"/>
                <w:sz w:val="17"/>
                <w:szCs w:val="17"/>
                <w:b w:val="1"/>
                <w:bCs w:val="1"/>
                <w:color w:val="auto"/>
                <w:w w:val="99"/>
              </w:rPr>
              <w:t>Tempe, AZ 85284</w:t>
            </w:r>
          </w:p>
        </w:tc>
        <w:tc>
          <w:tcPr>
            <w:tcW w:w="4440" w:type="dxa"/>
            <w:vAlign w:val="bottom"/>
          </w:tcPr>
          <w:p>
            <w:pPr>
              <w:spacing w:after="0"/>
              <w:rPr>
                <w:sz w:val="17"/>
                <w:szCs w:val="17"/>
                <w:color w:val="auto"/>
              </w:rPr>
            </w:pPr>
          </w:p>
        </w:tc>
      </w:tr>
      <w:tr>
        <w:trPr>
          <w:trHeight w:val="183"/>
        </w:trPr>
        <w:tc>
          <w:tcPr>
            <w:tcW w:w="3900" w:type="dxa"/>
            <w:vAlign w:val="bottom"/>
          </w:tcPr>
          <w:p>
            <w:pPr>
              <w:spacing w:after="0"/>
              <w:rPr>
                <w:sz w:val="15"/>
                <w:szCs w:val="15"/>
                <w:color w:val="auto"/>
              </w:rPr>
            </w:pPr>
          </w:p>
        </w:tc>
        <w:tc>
          <w:tcPr>
            <w:tcW w:w="7340" w:type="dxa"/>
            <w:vAlign w:val="bottom"/>
            <w:gridSpan w:val="2"/>
          </w:tcPr>
          <w:p>
            <w:pPr>
              <w:jc w:val="center"/>
              <w:ind w:right="3818"/>
              <w:spacing w:after="0"/>
              <w:rPr>
                <w:sz w:val="20"/>
                <w:szCs w:val="20"/>
                <w:color w:val="auto"/>
              </w:rPr>
            </w:pPr>
            <w:r>
              <w:rPr>
                <w:rFonts w:ascii="Times New Roman" w:cs="Times New Roman" w:eastAsia="Times New Roman" w:hAnsi="Times New Roman"/>
                <w:sz w:val="14"/>
                <w:szCs w:val="14"/>
                <w:i w:val="1"/>
                <w:iCs w:val="1"/>
                <w:color w:val="auto"/>
                <w:w w:val="98"/>
              </w:rPr>
              <w:t>(Address of principal executive offices and zip code)</w:t>
            </w:r>
          </w:p>
        </w:tc>
      </w:tr>
      <w:tr>
        <w:trPr>
          <w:trHeight w:val="320"/>
        </w:trPr>
        <w:tc>
          <w:tcPr>
            <w:tcW w:w="3900" w:type="dxa"/>
            <w:vAlign w:val="bottom"/>
          </w:tcPr>
          <w:p>
            <w:pPr>
              <w:spacing w:after="0"/>
              <w:rPr>
                <w:sz w:val="24"/>
                <w:szCs w:val="24"/>
                <w:color w:val="auto"/>
              </w:rPr>
            </w:pPr>
          </w:p>
        </w:tc>
        <w:tc>
          <w:tcPr>
            <w:tcW w:w="2900" w:type="dxa"/>
            <w:vAlign w:val="bottom"/>
          </w:tcPr>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(480) 821-5000</w:t>
            </w:r>
          </w:p>
        </w:tc>
        <w:tc>
          <w:tcPr>
            <w:tcW w:w="4440" w:type="dxa"/>
            <w:vAlign w:val="bottom"/>
          </w:tcPr>
          <w:p>
            <w:pPr>
              <w:spacing w:after="0"/>
              <w:rPr>
                <w:sz w:val="24"/>
                <w:szCs w:val="24"/>
                <w:color w:val="auto"/>
              </w:rPr>
            </w:pPr>
          </w:p>
        </w:tc>
      </w:tr>
      <w:tr>
        <w:trPr>
          <w:trHeight w:val="210"/>
        </w:trPr>
        <w:tc>
          <w:tcPr>
            <w:tcW w:w="3900" w:type="dxa"/>
            <w:vAlign w:val="bottom"/>
          </w:tcPr>
          <w:p>
            <w:pPr>
              <w:spacing w:after="0"/>
              <w:rPr>
                <w:sz w:val="18"/>
                <w:szCs w:val="18"/>
                <w:color w:val="auto"/>
              </w:rPr>
            </w:pPr>
          </w:p>
        </w:tc>
        <w:tc>
          <w:tcPr>
            <w:tcW w:w="7340" w:type="dxa"/>
            <w:vAlign w:val="bottom"/>
            <w:gridSpan w:val="2"/>
          </w:tcPr>
          <w:p>
            <w:pPr>
              <w:jc w:val="center"/>
              <w:ind w:right="3818"/>
              <w:spacing w:after="0"/>
              <w:rPr>
                <w:sz w:val="20"/>
                <w:szCs w:val="20"/>
                <w:color w:val="auto"/>
              </w:rPr>
            </w:pPr>
            <w:r>
              <w:rPr>
                <w:rFonts w:ascii="Times New Roman" w:cs="Times New Roman" w:eastAsia="Times New Roman" w:hAnsi="Times New Roman"/>
                <w:sz w:val="14"/>
                <w:szCs w:val="14"/>
                <w:i w:val="1"/>
                <w:iCs w:val="1"/>
                <w:color w:val="auto"/>
                <w:w w:val="97"/>
              </w:rPr>
              <w:t>(Registrant’s telephone number, including area code)</w:t>
            </w:r>
          </w:p>
        </w:tc>
      </w:tr>
      <w:tr>
        <w:trPr>
          <w:trHeight w:val="220"/>
        </w:trPr>
        <w:tc>
          <w:tcPr>
            <w:tcW w:w="3900" w:type="dxa"/>
            <w:vAlign w:val="bottom"/>
          </w:tcPr>
          <w:p>
            <w:pPr>
              <w:spacing w:after="0"/>
              <w:rPr>
                <w:sz w:val="19"/>
                <w:szCs w:val="19"/>
                <w:color w:val="auto"/>
              </w:rPr>
            </w:pPr>
          </w:p>
        </w:tc>
        <w:tc>
          <w:tcPr>
            <w:tcW w:w="7340" w:type="dxa"/>
            <w:vAlign w:val="bottom"/>
            <w:gridSpan w:val="2"/>
          </w:tcPr>
          <w:p>
            <w:pPr>
              <w:jc w:val="center"/>
              <w:ind w:right="3818"/>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r>
      <w:tr>
        <w:trPr>
          <w:trHeight w:val="397"/>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900" w:type="dxa"/>
            <w:vAlign w:val="bottom"/>
            <w:tcBorders>
              <w:bottom w:val="single" w:sz="8" w:color="auto"/>
            </w:tcBorders>
          </w:tcPr>
          <w:p>
            <w:pPr>
              <w:jc w:val="center"/>
              <w:ind w:right="680"/>
              <w:spacing w:after="0"/>
              <w:rPr>
                <w:sz w:val="20"/>
                <w:szCs w:val="20"/>
                <w:color w:val="auto"/>
              </w:rPr>
            </w:pPr>
            <w:r>
              <w:rPr>
                <w:rFonts w:ascii="Times New Roman" w:cs="Times New Roman" w:eastAsia="Times New Roman" w:hAnsi="Times New Roman"/>
                <w:sz w:val="17"/>
                <w:szCs w:val="17"/>
                <w:b w:val="1"/>
                <w:bCs w:val="1"/>
                <w:color w:val="auto"/>
                <w:w w:val="99"/>
              </w:rPr>
              <w:t>Trading Symbol</w:t>
            </w:r>
          </w:p>
        </w:tc>
        <w:tc>
          <w:tcPr>
            <w:tcW w:w="4440" w:type="dxa"/>
            <w:vAlign w:val="bottom"/>
            <w:tcBorders>
              <w:bottom w:val="single" w:sz="8" w:color="auto"/>
            </w:tcBorders>
          </w:tcPr>
          <w:p>
            <w:pPr>
              <w:jc w:val="center"/>
              <w:ind w:right="658"/>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26"/>
        </w:trPr>
        <w:tc>
          <w:tcPr>
            <w:tcW w:w="3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Common Stock, $0.001 par value</w:t>
            </w:r>
          </w:p>
        </w:tc>
        <w:tc>
          <w:tcPr>
            <w:tcW w:w="2900" w:type="dxa"/>
            <w:vAlign w:val="bottom"/>
          </w:tcPr>
          <w:p>
            <w:pPr>
              <w:jc w:val="center"/>
              <w:ind w:right="700"/>
              <w:spacing w:after="0"/>
              <w:rPr>
                <w:sz w:val="20"/>
                <w:szCs w:val="20"/>
                <w:color w:val="auto"/>
              </w:rPr>
            </w:pPr>
            <w:r>
              <w:rPr>
                <w:rFonts w:ascii="Times New Roman" w:cs="Times New Roman" w:eastAsia="Times New Roman" w:hAnsi="Times New Roman"/>
                <w:sz w:val="17"/>
                <w:szCs w:val="17"/>
                <w:color w:val="auto"/>
              </w:rPr>
              <w:t>AMKR</w:t>
            </w:r>
          </w:p>
        </w:tc>
        <w:tc>
          <w:tcPr>
            <w:tcW w:w="4440" w:type="dxa"/>
            <w:vAlign w:val="bottom"/>
          </w:tcPr>
          <w:p>
            <w:pPr>
              <w:jc w:val="center"/>
              <w:ind w:right="658"/>
              <w:spacing w:after="0"/>
              <w:rPr>
                <w:sz w:val="20"/>
                <w:szCs w:val="20"/>
                <w:color w:val="auto"/>
              </w:rPr>
            </w:pPr>
            <w:r>
              <w:rPr>
                <w:rFonts w:ascii="Times New Roman" w:cs="Times New Roman" w:eastAsia="Times New Roman" w:hAnsi="Times New Roman"/>
                <w:sz w:val="17"/>
                <w:szCs w:val="17"/>
                <w:color w:val="auto"/>
              </w:rPr>
              <w:t>The NASDAQ Global Select Market</w:t>
            </w:r>
          </w:p>
        </w:tc>
      </w:tr>
    </w:tbl>
    <w:p>
      <w:pPr>
        <w:spacing w:after="0" w:line="74"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spacing w:after="0" w:line="24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7"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49"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jc w:val="center"/>
        <w:ind w:right="17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150" w:lineRule="exact"/>
        <w:rPr>
          <w:sz w:val="24"/>
          <w:szCs w:val="24"/>
          <w:color w:val="auto"/>
        </w:rPr>
      </w:pPr>
    </w:p>
    <w:p>
      <w:pPr>
        <w:sectPr>
          <w:pgSz w:w="11900" w:h="16838" w:orient="portrait"/>
          <w:cols w:equalWidth="0" w:num="5">
            <w:col w:w="3000" w:space="720"/>
            <w:col w:w="1380" w:space="720"/>
            <w:col w:w="1860" w:space="720"/>
            <w:col w:w="1880" w:space="720"/>
            <w:col w:w="240"/>
          </w:cols>
          <w:pgMar w:left="320" w:top="1440" w:right="3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85" w:lineRule="exact"/>
        <w:rPr>
          <w:sz w:val="24"/>
          <w:szCs w:val="24"/>
          <w:color w:val="auto"/>
        </w:rPr>
      </w:pPr>
    </w:p>
    <w:p>
      <w:pPr>
        <w:sectPr>
          <w:pgSz w:w="11900" w:h="16838" w:orient="portrait"/>
          <w:cols w:equalWidth="0" w:num="5">
            <w:col w:w="1700" w:space="640"/>
            <w:col w:w="1140" w:space="620"/>
            <w:col w:w="1460" w:space="680"/>
            <w:col w:w="1880" w:space="720"/>
            <w:col w:w="2400"/>
          </w:cols>
          <w:pgMar w:left="320" w:top="1440" w:right="339" w:bottom="1440" w:gutter="0" w:footer="0" w:header="0"/>
          <w:type w:val="continuous"/>
        </w:sectPr>
      </w:pPr>
    </w:p>
    <w:p>
      <w:pPr>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3" w:lineRule="exact"/>
        <w:rPr>
          <w:sz w:val="24"/>
          <w:szCs w:val="24"/>
          <w:color w:val="auto"/>
        </w:rPr>
      </w:pPr>
    </w:p>
    <w:p>
      <w:pPr>
        <w:ind w:right="2380"/>
        <w:spacing w:after="0" w:line="30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outstanding shares of the registrant’s Common Stock as of October 20, 2026 was 247,810,189.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758825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90170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65405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406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p>
      <w:pPr>
        <w:spacing w:after="0" w:line="3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For the Quarter Ended September 30, 2026</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91" w:lineRule="exact"/>
        <w:rPr>
          <w:sz w:val="20"/>
          <w:szCs w:val="20"/>
          <w:color w:val="auto"/>
        </w:rPr>
      </w:pPr>
    </w:p>
    <w:tbl>
      <w:tblPr>
        <w:tblLayout w:type="fixed"/>
        <w:tblInd w:w="1460" w:type="dxa"/>
        <w:tblCellMar>
          <w:top w:w="0" w:type="dxa"/>
          <w:left w:w="0" w:type="dxa"/>
          <w:bottom w:w="0" w:type="dxa"/>
          <w:right w:w="0" w:type="dxa"/>
        </w:tblCellMar>
      </w:tblPr>
      <w:tr>
        <w:trPr>
          <w:trHeight w:val="183"/>
        </w:trPr>
        <w:tc>
          <w:tcPr>
            <w:tcW w:w="7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40" w:type="dxa"/>
            <w:vAlign w:val="bottom"/>
          </w:tcPr>
          <w:p>
            <w:pPr>
              <w:spacing w:after="0" w:line="20" w:lineRule="exact"/>
              <w:rPr>
                <w:sz w:val="1"/>
                <w:szCs w:val="1"/>
                <w:color w:val="auto"/>
              </w:rPr>
            </w:pPr>
          </w:p>
        </w:tc>
        <w:tc>
          <w:tcPr>
            <w:tcW w:w="7140" w:type="dxa"/>
            <w:vAlign w:val="bottom"/>
            <w:vMerge w:val="restart"/>
          </w:tcPr>
          <w:p>
            <w:pPr>
              <w:ind w:left="228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74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2"/>
                <w:szCs w:val="22"/>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Statements of Income - Three and Nine Months Ended September 30, 2026 and 2025</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71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Consolidated Statements of Comprehensive Income - Three and Nine Months Ended September 30,</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40" w:type="dxa"/>
            <w:vAlign w:val="bottom"/>
          </w:tcPr>
          <w:p>
            <w:pPr>
              <w:spacing w:after="0"/>
              <w:rPr>
                <w:sz w:val="20"/>
                <w:szCs w:val="20"/>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2026 and 2025</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2"/>
                <w:szCs w:val="22"/>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Balance Sheets - September 30, 2026 and December 31, 2025</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71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Consolidated Statements of Stockholders’ Equity - Three and Nine Months Ended September 30, 2026</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40" w:type="dxa"/>
            <w:vAlign w:val="bottom"/>
          </w:tcPr>
          <w:p>
            <w:pPr>
              <w:spacing w:after="0"/>
              <w:rPr>
                <w:sz w:val="20"/>
                <w:szCs w:val="20"/>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and 2025</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71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Condensed Consolidated Statements of Cash Flows - Nine Months Ended September 30, 2026 and</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40" w:type="dxa"/>
            <w:vAlign w:val="bottom"/>
          </w:tcPr>
          <w:p>
            <w:pPr>
              <w:spacing w:after="0"/>
              <w:rPr>
                <w:sz w:val="20"/>
                <w:szCs w:val="20"/>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2025</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2"/>
                <w:szCs w:val="22"/>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504"/>
        </w:trPr>
        <w:tc>
          <w:tcPr>
            <w:tcW w:w="740" w:type="dxa"/>
            <w:vAlign w:val="bottom"/>
          </w:tcPr>
          <w:p>
            <w:pPr>
              <w:spacing w:after="0"/>
              <w:rPr>
                <w:sz w:val="24"/>
                <w:szCs w:val="24"/>
                <w:color w:val="auto"/>
              </w:rPr>
            </w:pPr>
          </w:p>
        </w:tc>
        <w:tc>
          <w:tcPr>
            <w:tcW w:w="7140" w:type="dxa"/>
            <w:vAlign w:val="bottom"/>
          </w:tcPr>
          <w:p>
            <w:pPr>
              <w:ind w:left="2380"/>
              <w:spacing w:after="0"/>
              <w:rPr>
                <w:sz w:val="20"/>
                <w:szCs w:val="20"/>
                <w:color w:val="auto"/>
              </w:rPr>
            </w:pPr>
            <w:r>
              <w:rPr>
                <w:rFonts w:ascii="Times New Roman" w:cs="Times New Roman" w:eastAsia="Times New Roman" w:hAnsi="Times New Roman"/>
                <w:sz w:val="17"/>
                <w:szCs w:val="17"/>
                <w:b w:val="1"/>
                <w:bCs w:val="1"/>
                <w:color w:val="auto"/>
              </w:rPr>
              <w:t>PART II.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Signatures</w:t>
            </w:r>
          </w:p>
        </w:tc>
        <w:tc>
          <w:tcPr>
            <w:tcW w:w="7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This Quarterly Report on Form 10-Q (this “Form 10-Q”) contains forward-looking statements within the meaning of the federal securities laws, including, but not limited to, statements regarding (1) the amount, timing and focus of our expected capital investments in 2026, (2) our ability to fund our operating activities and financial requirements for the next twelve months, (3) the effect of changes in revenue levels and capacity utilization on our gross margin, (4) the impact of natural disasters and other calamities, health conditions or pandemics, political instability, hostilities or other disruptions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or repurchases of our common stock, (11) compliance with restrictive covenants in the indentures and agreements governing our current and future indebtedness, (12) the conversion of convertible debt, (13) liability for unrecognized tax benefits and the potential impact of our unrecognized tax benefits on our effective tax rate, (14) the effect of foreign currency exchange rate exposure on our financial results, (15) the volatility of the trading price of our common stock,</w:t>
      </w:r>
    </w:p>
    <w:p>
      <w:pPr>
        <w:spacing w:after="0" w:line="7" w:lineRule="exact"/>
        <w:rPr>
          <w:sz w:val="20"/>
          <w:szCs w:val="20"/>
          <w:color w:val="auto"/>
        </w:rPr>
      </w:pPr>
    </w:p>
    <w:p>
      <w:pPr>
        <w:jc w:val="both"/>
        <w:ind w:firstLine="3"/>
        <w:spacing w:after="0" w:line="257" w:lineRule="auto"/>
        <w:tabs>
          <w:tab w:leader="none" w:pos="3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internal controls related to integration of acquired operations and implementation of an enterprise resource planning system, (17) our efforts to enlarge our customer base in certain geographic areas and markets, (18) demand for advanced packages and our technology leadership and potential growth in our end markets, (19) projects to install or integrate new information technology systems or upgrade our existing systems, (20) our expected revenue recognition, (21) the anticipated benefits from our manufacturing facility in Bac Ninh, Vietnam (the “Vietnam Facility”), (22) the anticipated schedule for construction of our new facility in Arizona, United States (the “Arizona Facility”), (23) the receipt of government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p>
      <w:pPr>
        <w:ind w:left="406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p>
      <w:pPr>
        <w:spacing w:after="0" w:line="3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For the Quarter Ended September 30, 2026</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and incentives and the conditions and obligations thereto, (24) the effects of business, economic, political, legal and regulatory impacts, conflicts or natural disasters on our global operations, (25) the impact of interest rate changes on our investment portfolio and (26) 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2025 (the “2025 Form 10-K”) and from time to time in our other reports filed with or furnished to the U.S. Securities and Exchange Commission (“SEC”). You should carefully consider the trends, risks and uncertainties described in this Form 10-Q, the 2025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440" w:type="dxa"/>
            <w:vAlign w:val="bottom"/>
            <w:gridSpan w:val="4"/>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879"/>
        </w:trPr>
        <w:tc>
          <w:tcPr>
            <w:tcW w:w="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2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Financial Statements</w:t>
            </w: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9"/>
        </w:trPr>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40" w:type="dxa"/>
            <w:vAlign w:val="bottom"/>
            <w:gridSpan w:val="4"/>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rPr>
              <w:t>AMKOR TECHNOLOGY, INC.</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7"/>
        </w:trPr>
        <w:tc>
          <w:tcPr>
            <w:tcW w:w="8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66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7"/>
        </w:trPr>
        <w:tc>
          <w:tcPr>
            <w:tcW w:w="8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420" w:type="dxa"/>
            <w:vAlign w:val="bottom"/>
            <w:gridSpan w:val="2"/>
          </w:tcPr>
          <w:p>
            <w:pPr>
              <w:jc w:val="center"/>
              <w:ind w:left="11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00"/>
        </w:trPr>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7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r>
      <w:tr>
        <w:trPr>
          <w:trHeight w:val="23"/>
        </w:trPr>
        <w:tc>
          <w:tcPr>
            <w:tcW w:w="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8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8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
        </w:trPr>
        <w:tc>
          <w:tcPr>
            <w:tcW w:w="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9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1,990,557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1,986,968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5,573,223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4,819,935</w:t>
            </w:r>
          </w:p>
        </w:tc>
      </w:tr>
      <w:tr>
        <w:trPr>
          <w:trHeight w:val="23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0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1,627,028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1,702,478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4,652,072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4,195,965</w:t>
            </w:r>
          </w:p>
        </w:tc>
      </w:tr>
      <w:tr>
        <w:trPr>
          <w:trHeight w:val="225"/>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20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284,490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921,151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623,970</w:t>
            </w:r>
          </w:p>
        </w:tc>
      </w:tr>
      <w:tr>
        <w:trPr>
          <w:trHeight w:val="225"/>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274,917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211,541</w:t>
            </w:r>
          </w:p>
        </w:tc>
      </w:tr>
      <w:tr>
        <w:trPr>
          <w:trHeight w:val="23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6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39,792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121,382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130,012</w:t>
            </w:r>
          </w:p>
        </w:tc>
      </w:tr>
      <w:tr>
        <w:trPr>
          <w:trHeight w:val="225"/>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396,299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341,553</w:t>
            </w:r>
          </w:p>
        </w:tc>
      </w:tr>
      <w:tr>
        <w:trPr>
          <w:trHeight w:val="225"/>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income</w:t>
            </w:r>
          </w:p>
        </w:tc>
        <w:tc>
          <w:tcPr>
            <w:tcW w:w="2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524,852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282,417</w:t>
            </w:r>
          </w:p>
        </w:tc>
      </w:tr>
      <w:tr>
        <w:trPr>
          <w:trHeight w:val="23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54,850</w:t>
            </w:r>
          </w:p>
        </w:tc>
      </w:tr>
      <w:tr>
        <w:trPr>
          <w:trHeight w:val="23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6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(57,390)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(35,833)</w:t>
            </w:r>
          </w:p>
        </w:tc>
      </w:tr>
      <w:tr>
        <w:trPr>
          <w:trHeight w:val="225"/>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19,017</w:t>
            </w:r>
          </w:p>
        </w:tc>
      </w:tr>
      <w:tr>
        <w:trPr>
          <w:trHeight w:val="225"/>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before taxes</w:t>
            </w:r>
          </w:p>
        </w:tc>
        <w:tc>
          <w:tcPr>
            <w:tcW w:w="2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263,400</w:t>
            </w:r>
          </w:p>
        </w:tc>
      </w:tr>
      <w:tr>
        <w:trPr>
          <w:trHeight w:val="23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0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39,243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27,715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79,891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59,813</w:t>
            </w:r>
          </w:p>
        </w:tc>
      </w:tr>
      <w:tr>
        <w:trPr>
          <w:trHeight w:val="22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9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203,587</w:t>
            </w:r>
          </w:p>
        </w:tc>
      </w:tr>
      <w:tr>
        <w:trPr>
          <w:trHeight w:val="23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0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(1,453)</w:t>
            </w:r>
          </w:p>
        </w:tc>
      </w:tr>
      <w:tr>
        <w:trPr>
          <w:trHeight w:val="245"/>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Amkor</w:t>
            </w:r>
          </w:p>
        </w:tc>
        <w:tc>
          <w:tcPr>
            <w:tcW w:w="242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447,717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202,134</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8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Amkor per common share:</w:t>
            </w:r>
          </w:p>
        </w:tc>
        <w:tc>
          <w:tcPr>
            <w:tcW w:w="2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960" w:type="dxa"/>
            <w:vAlign w:val="bottom"/>
          </w:tcPr>
          <w:p>
            <w:pPr>
              <w:spacing w:after="0"/>
              <w:rPr>
                <w:sz w:val="20"/>
                <w:szCs w:val="20"/>
                <w:color w:val="auto"/>
              </w:rPr>
            </w:pPr>
          </w:p>
        </w:tc>
        <w:tc>
          <w:tcPr>
            <w:tcW w:w="2420" w:type="dxa"/>
            <w:vAlign w:val="bottom"/>
            <w:gridSpan w:val="2"/>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100" w:type="dxa"/>
            <w:vAlign w:val="bottom"/>
          </w:tcPr>
          <w:p>
            <w:pPr>
              <w:spacing w:after="0"/>
              <w:rPr>
                <w:sz w:val="20"/>
                <w:szCs w:val="20"/>
                <w:color w:val="auto"/>
              </w:rPr>
            </w:pPr>
          </w:p>
        </w:tc>
        <w:tc>
          <w:tcPr>
            <w:tcW w:w="30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w:t>
            </w:r>
          </w:p>
        </w:tc>
      </w:tr>
      <w:tr>
        <w:trPr>
          <w:trHeight w:val="20"/>
        </w:trPr>
        <w:tc>
          <w:tcPr>
            <w:tcW w:w="84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96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8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used in computing per common share amounts:</w:t>
            </w:r>
          </w:p>
        </w:tc>
        <w:tc>
          <w:tcPr>
            <w:tcW w:w="2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247,158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247,035</w:t>
            </w:r>
          </w:p>
        </w:tc>
      </w:tr>
      <w:tr>
        <w:trPr>
          <w:trHeight w:val="233"/>
        </w:trPr>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96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249,526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248,054</w:t>
            </w: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27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126,682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449,754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203,587</w:t>
            </w:r>
          </w:p>
        </w:tc>
      </w:tr>
      <w:tr>
        <w:trPr>
          <w:trHeight w:val="23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1"/>
        </w:trPr>
        <w:tc>
          <w:tcPr>
            <w:tcW w:w="586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Adjustments to net unrealized gains (losses) on available-for-sale debt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3"/>
        </w:trPr>
        <w:tc>
          <w:tcPr>
            <w:tcW w:w="5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investments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r>
      <w:tr>
        <w:trPr>
          <w:trHeight w:val="233"/>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Adjustments to unrealized components of defined benefit pension plans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(2,670)</w:t>
            </w:r>
          </w:p>
        </w:tc>
      </w:tr>
      <w:tr>
        <w:trPr>
          <w:trHeight w:val="23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5,433</w:t>
            </w:r>
          </w:p>
        </w:tc>
      </w:tr>
      <w:tr>
        <w:trPr>
          <w:trHeight w:val="225"/>
        </w:trPr>
        <w:tc>
          <w:tcPr>
            <w:tcW w:w="5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4,379</w:t>
            </w:r>
          </w:p>
        </w:tc>
      </w:tr>
      <w:tr>
        <w:trPr>
          <w:trHeight w:val="22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207,966</w:t>
            </w:r>
          </w:p>
        </w:tc>
      </w:tr>
      <w:tr>
        <w:trPr>
          <w:trHeight w:val="233"/>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Comprehensive income attributable to non-controlling interests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(1,453)</w:t>
            </w:r>
          </w:p>
        </w:tc>
      </w:tr>
      <w:tr>
        <w:trPr>
          <w:trHeight w:val="25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 attributable to Amkor</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446,752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206,513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15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68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1,603,015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1,378,347</w:t>
            </w:r>
          </w:p>
        </w:tc>
        <w:tc>
          <w:tcPr>
            <w:tcW w:w="0" w:type="dxa"/>
            <w:vAlign w:val="bottom"/>
          </w:tcPr>
          <w:p>
            <w:pPr>
              <w:spacing w:after="0"/>
              <w:rPr>
                <w:sz w:val="1"/>
                <w:szCs w:val="1"/>
                <w:color w:val="auto"/>
              </w:rPr>
            </w:pPr>
          </w:p>
        </w:tc>
      </w:tr>
      <w:tr>
        <w:trPr>
          <w:trHeight w:val="225"/>
        </w:trPr>
        <w:tc>
          <w:tcPr>
            <w:tcW w:w="7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investments (amortized cost of $777,891 and $612,344 in 2026 and 2025, respectively)</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773,181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613,038</w:t>
            </w:r>
          </w:p>
        </w:tc>
        <w:tc>
          <w:tcPr>
            <w:tcW w:w="0" w:type="dxa"/>
            <w:vAlign w:val="bottom"/>
          </w:tcPr>
          <w:p>
            <w:pPr>
              <w:spacing w:after="0"/>
              <w:rPr>
                <w:sz w:val="1"/>
                <w:szCs w:val="1"/>
                <w:color w:val="auto"/>
              </w:rPr>
            </w:pPr>
          </w:p>
        </w:tc>
      </w:tr>
      <w:tr>
        <w:trPr>
          <w:trHeight w:val="225"/>
        </w:trPr>
        <w:tc>
          <w:tcPr>
            <w:tcW w:w="7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1,354,825</w:t>
            </w: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603,792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437,797</w:t>
            </w:r>
          </w:p>
        </w:tc>
        <w:tc>
          <w:tcPr>
            <w:tcW w:w="0" w:type="dxa"/>
            <w:vAlign w:val="bottom"/>
          </w:tcPr>
          <w:p>
            <w:pPr>
              <w:spacing w:after="0"/>
              <w:rPr>
                <w:sz w:val="1"/>
                <w:szCs w:val="1"/>
                <w:color w:val="auto"/>
              </w:rPr>
            </w:pPr>
          </w:p>
        </w:tc>
      </w:tr>
      <w:tr>
        <w:trPr>
          <w:trHeight w:val="225"/>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100,754</w:t>
            </w: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4,619,780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3,884,761</w:t>
            </w:r>
          </w:p>
        </w:tc>
        <w:tc>
          <w:tcPr>
            <w:tcW w:w="0" w:type="dxa"/>
            <w:vAlign w:val="bottom"/>
          </w:tcPr>
          <w:p>
            <w:pPr>
              <w:spacing w:after="0"/>
              <w:rPr>
                <w:sz w:val="1"/>
                <w:szCs w:val="1"/>
                <w:color w:val="auto"/>
              </w:rPr>
            </w:pPr>
          </w:p>
        </w:tc>
      </w:tr>
      <w:tr>
        <w:trPr>
          <w:trHeight w:val="225"/>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4,697,784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3,870,808</w:t>
            </w: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93,449</w:t>
            </w:r>
          </w:p>
        </w:tc>
        <w:tc>
          <w:tcPr>
            <w:tcW w:w="0" w:type="dxa"/>
            <w:vAlign w:val="bottom"/>
          </w:tcPr>
          <w:p>
            <w:pPr>
              <w:spacing w:after="0"/>
              <w:rPr>
                <w:sz w:val="1"/>
                <w:szCs w:val="1"/>
                <w:color w:val="auto"/>
              </w:rPr>
            </w:pPr>
          </w:p>
        </w:tc>
      </w:tr>
      <w:tr>
        <w:trPr>
          <w:trHeight w:val="225"/>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18,003</w:t>
            </w: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67,776</w:t>
            </w:r>
          </w:p>
        </w:tc>
        <w:tc>
          <w:tcPr>
            <w:tcW w:w="0" w:type="dxa"/>
            <w:vAlign w:val="bottom"/>
          </w:tcPr>
          <w:p>
            <w:pPr>
              <w:spacing w:after="0"/>
              <w:rPr>
                <w:sz w:val="1"/>
                <w:szCs w:val="1"/>
                <w:color w:val="auto"/>
              </w:rPr>
            </w:pPr>
          </w:p>
        </w:tc>
      </w:tr>
      <w:tr>
        <w:trPr>
          <w:trHeight w:val="225"/>
        </w:trPr>
        <w:tc>
          <w:tcPr>
            <w:tcW w:w="7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403,898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201,512</w:t>
            </w:r>
          </w:p>
        </w:tc>
        <w:tc>
          <w:tcPr>
            <w:tcW w:w="0" w:type="dxa"/>
            <w:vAlign w:val="bottom"/>
          </w:tcPr>
          <w:p>
            <w:pPr>
              <w:spacing w:after="0"/>
              <w:rPr>
                <w:sz w:val="1"/>
                <w:szCs w:val="1"/>
                <w:color w:val="auto"/>
              </w:rPr>
            </w:pPr>
          </w:p>
        </w:tc>
      </w:tr>
      <w:tr>
        <w:trPr>
          <w:trHeight w:val="258"/>
        </w:trPr>
        <w:tc>
          <w:tcPr>
            <w:tcW w:w="76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8,136,309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45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borrowings and current portion of long-term debt</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149,502</w:t>
            </w:r>
          </w:p>
        </w:tc>
        <w:tc>
          <w:tcPr>
            <w:tcW w:w="12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162,430</w:t>
            </w: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926,205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912,766</w:t>
            </w:r>
          </w:p>
        </w:tc>
        <w:tc>
          <w:tcPr>
            <w:tcW w:w="0" w:type="dxa"/>
            <w:vAlign w:val="bottom"/>
          </w:tcPr>
          <w:p>
            <w:pPr>
              <w:spacing w:after="0"/>
              <w:rPr>
                <w:sz w:val="1"/>
                <w:szCs w:val="1"/>
                <w:color w:val="auto"/>
              </w:rPr>
            </w:pPr>
          </w:p>
        </w:tc>
      </w:tr>
      <w:tr>
        <w:trPr>
          <w:trHeight w:val="225"/>
        </w:trPr>
        <w:tc>
          <w:tcPr>
            <w:tcW w:w="7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 payable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243,543</w:t>
            </w: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liability</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23,140</w:t>
            </w:r>
          </w:p>
        </w:tc>
        <w:tc>
          <w:tcPr>
            <w:tcW w:w="0" w:type="dxa"/>
            <w:vAlign w:val="bottom"/>
          </w:tcPr>
          <w:p>
            <w:pPr>
              <w:spacing w:after="0"/>
              <w:rPr>
                <w:sz w:val="1"/>
                <w:szCs w:val="1"/>
                <w:color w:val="auto"/>
              </w:rPr>
            </w:pPr>
          </w:p>
        </w:tc>
      </w:tr>
      <w:tr>
        <w:trPr>
          <w:trHeight w:val="225"/>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535,401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370,093</w:t>
            </w: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2,128,516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1,711,972</w:t>
            </w:r>
          </w:p>
        </w:tc>
        <w:tc>
          <w:tcPr>
            <w:tcW w:w="0" w:type="dxa"/>
            <w:vAlign w:val="bottom"/>
          </w:tcPr>
          <w:p>
            <w:pPr>
              <w:spacing w:after="0"/>
              <w:rPr>
                <w:sz w:val="1"/>
                <w:szCs w:val="1"/>
                <w:color w:val="auto"/>
              </w:rPr>
            </w:pPr>
          </w:p>
        </w:tc>
      </w:tr>
      <w:tr>
        <w:trPr>
          <w:trHeight w:val="225"/>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2,317,733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1,282,816</w:t>
            </w: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and severance obligations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69,218</w:t>
            </w:r>
          </w:p>
        </w:tc>
        <w:tc>
          <w:tcPr>
            <w:tcW w:w="0" w:type="dxa"/>
            <w:vAlign w:val="bottom"/>
          </w:tcPr>
          <w:p>
            <w:pPr>
              <w:spacing w:after="0"/>
              <w:rPr>
                <w:sz w:val="1"/>
                <w:szCs w:val="1"/>
                <w:color w:val="auto"/>
              </w:rPr>
            </w:pPr>
          </w:p>
        </w:tc>
      </w:tr>
      <w:tr>
        <w:trPr>
          <w:trHeight w:val="225"/>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48,549</w:t>
            </w: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623,631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517,467</w:t>
            </w:r>
          </w:p>
        </w:tc>
        <w:tc>
          <w:tcPr>
            <w:tcW w:w="0" w:type="dxa"/>
            <w:vAlign w:val="bottom"/>
          </w:tcPr>
          <w:p>
            <w:pPr>
              <w:spacing w:after="0"/>
              <w:rPr>
                <w:sz w:val="1"/>
                <w:szCs w:val="1"/>
                <w:color w:val="auto"/>
              </w:rPr>
            </w:pPr>
          </w:p>
        </w:tc>
      </w:tr>
      <w:tr>
        <w:trPr>
          <w:trHeight w:val="218"/>
        </w:trPr>
        <w:tc>
          <w:tcPr>
            <w:tcW w:w="76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5,206,032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3,630,022</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$0.001 par value, 10,000 shares authorized, designated Series A, none issued</w:t>
            </w:r>
          </w:p>
        </w:tc>
        <w:tc>
          <w:tcPr>
            <w:tcW w:w="2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7680" w:type="dxa"/>
            <w:vAlign w:val="bottom"/>
          </w:tcPr>
          <w:p>
            <w:pPr>
              <w:ind w:left="220"/>
              <w:spacing w:after="0" w:line="172" w:lineRule="exact"/>
              <w:rPr>
                <w:sz w:val="20"/>
                <w:szCs w:val="20"/>
                <w:color w:val="auto"/>
              </w:rPr>
            </w:pPr>
            <w:r>
              <w:rPr>
                <w:rFonts w:ascii="Times New Roman" w:cs="Times New Roman" w:eastAsia="Times New Roman" w:hAnsi="Times New Roman"/>
                <w:sz w:val="16"/>
                <w:szCs w:val="16"/>
                <w:color w:val="auto"/>
              </w:rPr>
              <w:t>Common stock, $0.001 par value, 500,000 shares authorized; 295,060 and 293,756 shares issued; and 247,804</w:t>
            </w:r>
          </w:p>
        </w:tc>
        <w:tc>
          <w:tcPr>
            <w:tcW w:w="2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5"/>
        </w:trPr>
        <w:tc>
          <w:tcPr>
            <w:tcW w:w="7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and 247,303 shares outstanding in 2026 and 2025, respectively</w:t>
            </w:r>
          </w:p>
        </w:tc>
        <w:tc>
          <w:tcPr>
            <w:tcW w:w="2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2,036,526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2,054,051</w:t>
            </w:r>
          </w:p>
        </w:tc>
        <w:tc>
          <w:tcPr>
            <w:tcW w:w="0" w:type="dxa"/>
            <w:vAlign w:val="bottom"/>
          </w:tcPr>
          <w:p>
            <w:pPr>
              <w:spacing w:after="0"/>
              <w:rPr>
                <w:sz w:val="1"/>
                <w:szCs w:val="1"/>
                <w:color w:val="auto"/>
              </w:rPr>
            </w:pPr>
          </w:p>
        </w:tc>
      </w:tr>
      <w:tr>
        <w:trPr>
          <w:trHeight w:val="225"/>
        </w:trPr>
        <w:tc>
          <w:tcPr>
            <w:tcW w:w="7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2,627,038</w:t>
            </w: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16,833</w:t>
            </w:r>
          </w:p>
        </w:tc>
        <w:tc>
          <w:tcPr>
            <w:tcW w:w="0" w:type="dxa"/>
            <w:vAlign w:val="bottom"/>
          </w:tcPr>
          <w:p>
            <w:pPr>
              <w:spacing w:after="0"/>
              <w:rPr>
                <w:sz w:val="1"/>
                <w:szCs w:val="1"/>
                <w:color w:val="auto"/>
              </w:rPr>
            </w:pPr>
          </w:p>
        </w:tc>
      </w:tr>
      <w:tr>
        <w:trPr>
          <w:trHeight w:val="225"/>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at cost, 47,256 and 46,453 shares in 2026 and 2025, respectively</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(227,110)</w:t>
            </w: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Amkor stockholders’ equity</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4,799,666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4,471,106</w:t>
            </w:r>
          </w:p>
        </w:tc>
        <w:tc>
          <w:tcPr>
            <w:tcW w:w="0" w:type="dxa"/>
            <w:vAlign w:val="bottom"/>
          </w:tcPr>
          <w:p>
            <w:pPr>
              <w:spacing w:after="0"/>
              <w:rPr>
                <w:sz w:val="1"/>
                <w:szCs w:val="1"/>
                <w:color w:val="auto"/>
              </w:rPr>
            </w:pPr>
          </w:p>
        </w:tc>
      </w:tr>
      <w:tr>
        <w:trPr>
          <w:trHeight w:val="22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 in subsidiaries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35,181</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4,836,192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4,506,287</w:t>
            </w:r>
          </w:p>
        </w:tc>
        <w:tc>
          <w:tcPr>
            <w:tcW w:w="0" w:type="dxa"/>
            <w:vAlign w:val="bottom"/>
          </w:tcPr>
          <w:p>
            <w:pPr>
              <w:spacing w:after="0"/>
              <w:rPr>
                <w:sz w:val="1"/>
                <w:szCs w:val="1"/>
                <w:color w:val="auto"/>
              </w:rPr>
            </w:pPr>
          </w:p>
        </w:tc>
      </w:tr>
      <w:tr>
        <w:trPr>
          <w:trHeight w:val="233"/>
        </w:trPr>
        <w:tc>
          <w:tcPr>
            <w:tcW w:w="7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10,042,224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8,136,309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16"/>
        </w:trPr>
        <w:tc>
          <w:tcPr>
            <w:tcW w:w="1620" w:type="dxa"/>
            <w:vAlign w:val="bottom"/>
          </w:tcPr>
          <w:p>
            <w:pPr>
              <w:spacing w:after="0"/>
              <w:rPr>
                <w:sz w:val="10"/>
                <w:szCs w:val="10"/>
                <w:color w:val="auto"/>
              </w:rPr>
            </w:pPr>
          </w:p>
        </w:tc>
        <w:tc>
          <w:tcPr>
            <w:tcW w:w="1640" w:type="dxa"/>
            <w:vAlign w:val="bottom"/>
            <w:gridSpan w:val="5"/>
          </w:tcPr>
          <w:p>
            <w:pPr>
              <w:ind w:left="4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Total Amkor</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52"/>
        </w:trPr>
        <w:tc>
          <w:tcPr>
            <w:tcW w:w="16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tcPr>
          <w:p>
            <w:pPr>
              <w:jc w:val="center"/>
              <w:ind w:right="180"/>
              <w:spacing w:after="0" w:line="52" w:lineRule="exact"/>
              <w:rPr>
                <w:sz w:val="20"/>
                <w:szCs w:val="20"/>
                <w:color w:val="auto"/>
              </w:rPr>
            </w:pPr>
            <w:r>
              <w:rPr>
                <w:rFonts w:ascii="Times New Roman" w:cs="Times New Roman" w:eastAsia="Times New Roman" w:hAnsi="Times New Roman"/>
                <w:sz w:val="5"/>
                <w:szCs w:val="5"/>
                <w:b w:val="1"/>
                <w:bCs w:val="1"/>
                <w:color w:val="auto"/>
              </w:rPr>
              <w:t>Additional Paid-</w:t>
            </w: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tcPr>
          <w:p>
            <w:pPr>
              <w:jc w:val="center"/>
              <w:ind w:right="220"/>
              <w:spacing w:after="0" w:line="52" w:lineRule="exact"/>
              <w:rPr>
                <w:sz w:val="20"/>
                <w:szCs w:val="20"/>
                <w:color w:val="auto"/>
              </w:rPr>
            </w:pPr>
            <w:r>
              <w:rPr>
                <w:rFonts w:ascii="Times New Roman" w:cs="Times New Roman" w:eastAsia="Times New Roman" w:hAnsi="Times New Roman"/>
                <w:sz w:val="5"/>
                <w:szCs w:val="5"/>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tcPr>
          <w:p>
            <w:pPr>
              <w:jc w:val="center"/>
              <w:ind w:right="220"/>
              <w:spacing w:after="0" w:line="52" w:lineRule="exact"/>
              <w:rPr>
                <w:sz w:val="20"/>
                <w:szCs w:val="20"/>
                <w:color w:val="auto"/>
              </w:rPr>
            </w:pPr>
            <w:r>
              <w:rPr>
                <w:rFonts w:ascii="Times New Roman" w:cs="Times New Roman" w:eastAsia="Times New Roman" w:hAnsi="Times New Roman"/>
                <w:sz w:val="5"/>
                <w:szCs w:val="5"/>
                <w:b w:val="1"/>
                <w:bCs w:val="1"/>
                <w:color w:val="auto"/>
              </w:rPr>
              <w:t>Stockholders’</w:t>
            </w:r>
          </w:p>
        </w:tc>
        <w:tc>
          <w:tcPr>
            <w:tcW w:w="140" w:type="dxa"/>
            <w:vAlign w:val="bottom"/>
          </w:tcPr>
          <w:p>
            <w:pPr>
              <w:spacing w:after="0"/>
              <w:rPr>
                <w:sz w:val="4"/>
                <w:szCs w:val="4"/>
                <w:color w:val="auto"/>
              </w:rPr>
            </w:pPr>
          </w:p>
        </w:tc>
        <w:tc>
          <w:tcPr>
            <w:tcW w:w="1000" w:type="dxa"/>
            <w:vAlign w:val="bottom"/>
            <w:gridSpan w:val="2"/>
          </w:tcPr>
          <w:p>
            <w:pPr>
              <w:jc w:val="center"/>
              <w:ind w:right="240"/>
              <w:spacing w:after="0" w:line="52" w:lineRule="exact"/>
              <w:rPr>
                <w:sz w:val="20"/>
                <w:szCs w:val="20"/>
                <w:color w:val="auto"/>
              </w:rPr>
            </w:pPr>
            <w:r>
              <w:rPr>
                <w:rFonts w:ascii="Times New Roman" w:cs="Times New Roman" w:eastAsia="Times New Roman" w:hAnsi="Times New Roman"/>
                <w:sz w:val="5"/>
                <w:szCs w:val="5"/>
                <w:b w:val="1"/>
                <w:bCs w:val="1"/>
                <w:color w:val="auto"/>
              </w:rPr>
              <w:t>Interest in</w:t>
            </w:r>
          </w:p>
        </w:tc>
        <w:tc>
          <w:tcPr>
            <w:tcW w:w="200" w:type="dxa"/>
            <w:vAlign w:val="bottom"/>
          </w:tcPr>
          <w:p>
            <w:pPr>
              <w:spacing w:after="0"/>
              <w:rPr>
                <w:sz w:val="4"/>
                <w:szCs w:val="4"/>
                <w:color w:val="auto"/>
              </w:rPr>
            </w:pPr>
          </w:p>
        </w:tc>
        <w:tc>
          <w:tcPr>
            <w:tcW w:w="700" w:type="dxa"/>
            <w:vAlign w:val="bottom"/>
          </w:tcPr>
          <w:p>
            <w:pPr>
              <w:jc w:val="right"/>
              <w:ind w:right="282"/>
              <w:spacing w:after="0" w:line="52" w:lineRule="exact"/>
              <w:rPr>
                <w:sz w:val="20"/>
                <w:szCs w:val="20"/>
                <w:color w:val="auto"/>
              </w:rPr>
            </w:pPr>
            <w:r>
              <w:rPr>
                <w:rFonts w:ascii="Times New Roman" w:cs="Times New Roman" w:eastAsia="Times New Roman" w:hAnsi="Times New Roman"/>
                <w:sz w:val="5"/>
                <w:szCs w:val="5"/>
                <w:b w:val="1"/>
                <w:bCs w:val="1"/>
                <w:color w:val="auto"/>
              </w:rPr>
              <w:t>Total</w:t>
            </w:r>
          </w:p>
        </w:tc>
      </w:tr>
      <w:tr>
        <w:trPr>
          <w:trHeight w:val="153"/>
        </w:trPr>
        <w:tc>
          <w:tcPr>
            <w:tcW w:w="1620" w:type="dxa"/>
            <w:vAlign w:val="bottom"/>
          </w:tcPr>
          <w:p>
            <w:pPr>
              <w:spacing w:after="0"/>
              <w:rPr>
                <w:sz w:val="13"/>
                <w:szCs w:val="13"/>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Par Value</w:t>
            </w:r>
          </w:p>
        </w:tc>
        <w:tc>
          <w:tcPr>
            <w:tcW w:w="8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 Capital</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200" w:type="dxa"/>
            <w:vAlign w:val="bottom"/>
          </w:tcPr>
          <w:p>
            <w:pPr>
              <w:spacing w:after="0"/>
              <w:rPr>
                <w:sz w:val="13"/>
                <w:szCs w:val="13"/>
                <w:color w:val="auto"/>
              </w:rPr>
            </w:pP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21"/>
        </w:trPr>
        <w:tc>
          <w:tcPr>
            <w:tcW w:w="1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9"/>
        </w:trPr>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ind w:left="68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2"/>
        </w:trPr>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1"/>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June 30, 2026</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294,562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2,025,469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2,842,719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15,107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(233,178)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4,650,412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36,416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4,686,828</w:t>
            </w:r>
          </w:p>
        </w:tc>
      </w:tr>
      <w:tr>
        <w:trPr>
          <w:trHeight w:val="173"/>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190,613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190,613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190,919</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8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761</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761</w:t>
            </w:r>
          </w:p>
        </w:tc>
      </w:tr>
      <w:tr>
        <w:trPr>
          <w:trHeight w:val="173"/>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Repurchase of common stock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(32,328)</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Treasury stock acquired through</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2"/>
                <w:szCs w:val="12"/>
                <w:color w:val="auto"/>
              </w:rPr>
              <w:t>surrender of shares for tax</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withholding</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r>
      <w:tr>
        <w:trPr>
          <w:trHeight w:val="129"/>
        </w:trPr>
        <w:tc>
          <w:tcPr>
            <w:tcW w:w="16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Issuance of stock through share-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3"/>
        </w:trPr>
        <w:tc>
          <w:tcPr>
            <w:tcW w:w="1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based compensation plans</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4,610</w:t>
            </w:r>
          </w:p>
        </w:tc>
      </w:tr>
      <w:tr>
        <w:trPr>
          <w:trHeight w:val="18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6,447</w:t>
            </w:r>
          </w:p>
        </w:tc>
      </w:tr>
      <w:tr>
        <w:trPr>
          <w:trHeight w:val="129"/>
        </w:trPr>
        <w:tc>
          <w:tcPr>
            <w:tcW w:w="16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Cash dividends declared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2"/>
                <w:szCs w:val="12"/>
                <w:color w:val="auto"/>
              </w:rPr>
              <w:t>($0.08352 per common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63"/>
        </w:trPr>
        <w:tc>
          <w:tcPr>
            <w:tcW w:w="1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share)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(20,707)</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to non-</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74"/>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controlling interests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r>
      <w:tr>
        <w:trPr>
          <w:trHeight w:val="181"/>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September 30, 2026</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295,060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2,036,526</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3,012,625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15,868</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(47,256)</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(265,648)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4,799,666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36,526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4,836,192</w:t>
            </w: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3"/>
        </w:trPr>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73"/>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2025</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293,756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2,054,051</w:t>
            </w:r>
          </w:p>
        </w:tc>
        <w:tc>
          <w:tcPr>
            <w:tcW w:w="100" w:type="dxa"/>
            <w:vAlign w:val="bottom"/>
          </w:tcPr>
          <w:p>
            <w:pPr>
              <w:spacing w:after="0"/>
              <w:rPr>
                <w:sz w:val="15"/>
                <w:szCs w:val="15"/>
                <w:color w:val="auto"/>
              </w:rPr>
            </w:pP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2,627,038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16,833</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(46,453)</w:t>
            </w:r>
          </w:p>
        </w:tc>
        <w:tc>
          <w:tcPr>
            <w:tcW w:w="120" w:type="dxa"/>
            <w:vAlign w:val="bottom"/>
          </w:tcPr>
          <w:p>
            <w:pPr>
              <w:spacing w:after="0"/>
              <w:rPr>
                <w:sz w:val="15"/>
                <w:szCs w:val="15"/>
                <w:color w:val="auto"/>
              </w:rPr>
            </w:pPr>
          </w:p>
        </w:tc>
        <w:tc>
          <w:tcPr>
            <w:tcW w:w="1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(227,110)</w:t>
            </w:r>
          </w:p>
        </w:tc>
        <w:tc>
          <w:tcPr>
            <w:tcW w:w="120" w:type="dxa"/>
            <w:vAlign w:val="bottom"/>
          </w:tcPr>
          <w:p>
            <w:pPr>
              <w:spacing w:after="0"/>
              <w:rPr>
                <w:sz w:val="15"/>
                <w:szCs w:val="15"/>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4,471,106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35,181</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4,506,287</w:t>
            </w:r>
          </w:p>
        </w:tc>
      </w:tr>
      <w:tr>
        <w:trPr>
          <w:trHeight w:val="18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447,717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447,717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449,754</w:t>
            </w:r>
          </w:p>
        </w:tc>
      </w:tr>
      <w:tr>
        <w:trPr>
          <w:trHeight w:val="129"/>
        </w:trPr>
        <w:tc>
          <w:tcPr>
            <w:tcW w:w="16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Other comprehensive income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3"/>
        </w:trPr>
        <w:tc>
          <w:tcPr>
            <w:tcW w:w="1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(loss)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w:t>
            </w:r>
          </w:p>
        </w:tc>
      </w:tr>
      <w:tr>
        <w:trPr>
          <w:trHeight w:val="18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 of common stock</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(32,328)</w:t>
            </w:r>
          </w:p>
        </w:tc>
      </w:tr>
      <w:tr>
        <w:trPr>
          <w:trHeight w:val="129"/>
        </w:trPr>
        <w:tc>
          <w:tcPr>
            <w:tcW w:w="16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Treasury stock acquired through</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2"/>
                <w:szCs w:val="12"/>
                <w:color w:val="auto"/>
              </w:rPr>
              <w:t>surrender of shares for tax</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63"/>
        </w:trPr>
        <w:tc>
          <w:tcPr>
            <w:tcW w:w="1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withholding</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(6,210)</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stock through share-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8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based compensation plans</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5,974</w:t>
            </w:r>
          </w:p>
        </w:tc>
      </w:tr>
      <w:tr>
        <w:trPr>
          <w:trHeight w:val="173"/>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20,573</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dividends declared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2"/>
                <w:szCs w:val="12"/>
                <w:color w:val="auto"/>
              </w:rPr>
              <w:t>($0.25056 per common</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share)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(62,130)</w:t>
            </w:r>
          </w:p>
        </w:tc>
      </w:tr>
      <w:tr>
        <w:trPr>
          <w:trHeight w:val="129"/>
        </w:trPr>
        <w:tc>
          <w:tcPr>
            <w:tcW w:w="16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Capped call transactions related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2"/>
                <w:szCs w:val="12"/>
                <w:color w:val="auto"/>
              </w:rPr>
              <w:t>to the issuance of convertible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63"/>
        </w:trPr>
        <w:tc>
          <w:tcPr>
            <w:tcW w:w="1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senior notes due 2031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(44,071)</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to non-</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74"/>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controlling interests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w:t>
            </w:r>
          </w:p>
        </w:tc>
      </w:tr>
      <w:tr>
        <w:trPr>
          <w:trHeight w:val="181"/>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September 30, 2026</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295,060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2,036,526</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3,012,625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15,868</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(47,256)</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(265,648)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4,799,666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36,526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4,836,192</w:t>
            </w:r>
          </w:p>
        </w:tc>
      </w:tr>
      <w:tr>
        <w:trPr>
          <w:trHeight w:val="20"/>
        </w:trPr>
        <w:tc>
          <w:tcPr>
            <w:tcW w:w="1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16"/>
        </w:trPr>
        <w:tc>
          <w:tcPr>
            <w:tcW w:w="1620" w:type="dxa"/>
            <w:vAlign w:val="bottom"/>
          </w:tcPr>
          <w:p>
            <w:pPr>
              <w:spacing w:after="0"/>
              <w:rPr>
                <w:sz w:val="10"/>
                <w:szCs w:val="10"/>
                <w:color w:val="auto"/>
              </w:rPr>
            </w:pPr>
          </w:p>
        </w:tc>
        <w:tc>
          <w:tcPr>
            <w:tcW w:w="1640" w:type="dxa"/>
            <w:vAlign w:val="bottom"/>
            <w:gridSpan w:val="5"/>
          </w:tcPr>
          <w:p>
            <w:pPr>
              <w:ind w:left="4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680" w:type="dxa"/>
            <w:vAlign w:val="bottom"/>
            <w:gridSpan w:val="5"/>
          </w:tcPr>
          <w:p>
            <w:pPr>
              <w:ind w:left="46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Total Amkor</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52"/>
        </w:trPr>
        <w:tc>
          <w:tcPr>
            <w:tcW w:w="16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tcPr>
          <w:p>
            <w:pPr>
              <w:jc w:val="center"/>
              <w:ind w:right="180"/>
              <w:spacing w:after="0" w:line="52" w:lineRule="exact"/>
              <w:rPr>
                <w:sz w:val="20"/>
                <w:szCs w:val="20"/>
                <w:color w:val="auto"/>
              </w:rPr>
            </w:pPr>
            <w:r>
              <w:rPr>
                <w:rFonts w:ascii="Times New Roman" w:cs="Times New Roman" w:eastAsia="Times New Roman" w:hAnsi="Times New Roman"/>
                <w:sz w:val="5"/>
                <w:szCs w:val="5"/>
                <w:b w:val="1"/>
                <w:bCs w:val="1"/>
                <w:color w:val="auto"/>
              </w:rPr>
              <w:t>Additional Paid-</w:t>
            </w: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tcPr>
          <w:p>
            <w:pPr>
              <w:jc w:val="center"/>
              <w:ind w:right="220"/>
              <w:spacing w:after="0" w:line="52" w:lineRule="exact"/>
              <w:rPr>
                <w:sz w:val="20"/>
                <w:szCs w:val="20"/>
                <w:color w:val="auto"/>
              </w:rPr>
            </w:pPr>
            <w:r>
              <w:rPr>
                <w:rFonts w:ascii="Times New Roman" w:cs="Times New Roman" w:eastAsia="Times New Roman" w:hAnsi="Times New Roman"/>
                <w:sz w:val="5"/>
                <w:szCs w:val="5"/>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tcPr>
          <w:p>
            <w:pPr>
              <w:jc w:val="center"/>
              <w:ind w:right="220"/>
              <w:spacing w:after="0" w:line="52" w:lineRule="exact"/>
              <w:rPr>
                <w:sz w:val="20"/>
                <w:szCs w:val="20"/>
                <w:color w:val="auto"/>
              </w:rPr>
            </w:pPr>
            <w:r>
              <w:rPr>
                <w:rFonts w:ascii="Times New Roman" w:cs="Times New Roman" w:eastAsia="Times New Roman" w:hAnsi="Times New Roman"/>
                <w:sz w:val="5"/>
                <w:szCs w:val="5"/>
                <w:b w:val="1"/>
                <w:bCs w:val="1"/>
                <w:color w:val="auto"/>
              </w:rPr>
              <w:t>Stockholders’</w:t>
            </w:r>
          </w:p>
        </w:tc>
        <w:tc>
          <w:tcPr>
            <w:tcW w:w="140" w:type="dxa"/>
            <w:vAlign w:val="bottom"/>
          </w:tcPr>
          <w:p>
            <w:pPr>
              <w:spacing w:after="0"/>
              <w:rPr>
                <w:sz w:val="4"/>
                <w:szCs w:val="4"/>
                <w:color w:val="auto"/>
              </w:rPr>
            </w:pPr>
          </w:p>
        </w:tc>
        <w:tc>
          <w:tcPr>
            <w:tcW w:w="1000" w:type="dxa"/>
            <w:vAlign w:val="bottom"/>
            <w:gridSpan w:val="2"/>
          </w:tcPr>
          <w:p>
            <w:pPr>
              <w:jc w:val="center"/>
              <w:ind w:right="240"/>
              <w:spacing w:after="0" w:line="52" w:lineRule="exact"/>
              <w:rPr>
                <w:sz w:val="20"/>
                <w:szCs w:val="20"/>
                <w:color w:val="auto"/>
              </w:rPr>
            </w:pPr>
            <w:r>
              <w:rPr>
                <w:rFonts w:ascii="Times New Roman" w:cs="Times New Roman" w:eastAsia="Times New Roman" w:hAnsi="Times New Roman"/>
                <w:sz w:val="5"/>
                <w:szCs w:val="5"/>
                <w:b w:val="1"/>
                <w:bCs w:val="1"/>
                <w:color w:val="auto"/>
              </w:rPr>
              <w:t>Interest in</w:t>
            </w:r>
          </w:p>
        </w:tc>
        <w:tc>
          <w:tcPr>
            <w:tcW w:w="200" w:type="dxa"/>
            <w:vAlign w:val="bottom"/>
          </w:tcPr>
          <w:p>
            <w:pPr>
              <w:spacing w:after="0"/>
              <w:rPr>
                <w:sz w:val="4"/>
                <w:szCs w:val="4"/>
                <w:color w:val="auto"/>
              </w:rPr>
            </w:pPr>
          </w:p>
        </w:tc>
        <w:tc>
          <w:tcPr>
            <w:tcW w:w="700" w:type="dxa"/>
            <w:vAlign w:val="bottom"/>
          </w:tcPr>
          <w:p>
            <w:pPr>
              <w:jc w:val="right"/>
              <w:ind w:right="282"/>
              <w:spacing w:after="0" w:line="52" w:lineRule="exact"/>
              <w:rPr>
                <w:sz w:val="20"/>
                <w:szCs w:val="20"/>
                <w:color w:val="auto"/>
              </w:rPr>
            </w:pPr>
            <w:r>
              <w:rPr>
                <w:rFonts w:ascii="Times New Roman" w:cs="Times New Roman" w:eastAsia="Times New Roman" w:hAnsi="Times New Roman"/>
                <w:sz w:val="5"/>
                <w:szCs w:val="5"/>
                <w:b w:val="1"/>
                <w:bCs w:val="1"/>
                <w:color w:val="auto"/>
              </w:rPr>
              <w:t>Total</w:t>
            </w:r>
          </w:p>
        </w:tc>
      </w:tr>
      <w:tr>
        <w:trPr>
          <w:trHeight w:val="153"/>
        </w:trPr>
        <w:tc>
          <w:tcPr>
            <w:tcW w:w="1620" w:type="dxa"/>
            <w:vAlign w:val="bottom"/>
          </w:tcPr>
          <w:p>
            <w:pPr>
              <w:spacing w:after="0"/>
              <w:rPr>
                <w:sz w:val="13"/>
                <w:szCs w:val="13"/>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Par Value</w:t>
            </w:r>
          </w:p>
        </w:tc>
        <w:tc>
          <w:tcPr>
            <w:tcW w:w="8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 Capital</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200" w:type="dxa"/>
            <w:vAlign w:val="bottom"/>
          </w:tcPr>
          <w:p>
            <w:pPr>
              <w:spacing w:after="0"/>
              <w:rPr>
                <w:sz w:val="13"/>
                <w:szCs w:val="13"/>
                <w:color w:val="auto"/>
              </w:rPr>
            </w:pP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21"/>
        </w:trPr>
        <w:tc>
          <w:tcPr>
            <w:tcW w:w="1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9"/>
        </w:trPr>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ind w:left="68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2"/>
        </w:trPr>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1"/>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June 30, 2025</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293,577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2,041,548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2,369,797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12,299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(46,435)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(226,514)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4,197,424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34,650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4,232,074</w:t>
            </w:r>
          </w:p>
        </w:tc>
      </w:tr>
      <w:tr>
        <w:trPr>
          <w:trHeight w:val="173"/>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126,589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126,589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126,682</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8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w:t>
            </w:r>
          </w:p>
        </w:tc>
      </w:tr>
      <w:tr>
        <w:trPr>
          <w:trHeight w:val="129"/>
        </w:trPr>
        <w:tc>
          <w:tcPr>
            <w:tcW w:w="16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Treasury stock acquired through</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2"/>
                <w:szCs w:val="12"/>
                <w:color w:val="auto"/>
              </w:rPr>
              <w:t>surrender of shares for tax</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63"/>
        </w:trPr>
        <w:tc>
          <w:tcPr>
            <w:tcW w:w="1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withholding</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stock through share-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8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based compensation plans</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328</w:t>
            </w:r>
          </w:p>
        </w:tc>
      </w:tr>
      <w:tr>
        <w:trPr>
          <w:trHeight w:val="173"/>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5,141</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Dividends declared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2"/>
                <w:szCs w:val="12"/>
                <w:color w:val="auto"/>
              </w:rPr>
              <w:t>($0.08269 per common</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share)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(20,450)</w:t>
            </w:r>
          </w:p>
        </w:tc>
      </w:tr>
      <w:tr>
        <w:trPr>
          <w:trHeight w:val="129"/>
        </w:trPr>
        <w:tc>
          <w:tcPr>
            <w:tcW w:w="16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Subsidiary dividends to non-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1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controlling interests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r>
      <w:tr>
        <w:trPr>
          <w:trHeight w:val="206"/>
        </w:trPr>
        <w:tc>
          <w:tcPr>
            <w:tcW w:w="1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September 30, 2025</w:t>
            </w: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293,636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2,047,017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2,475,936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11,889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(226,770)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4,308,366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34,578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4,342,944</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1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1"/>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293,052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2,031,643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2,335,132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7,510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(46,368)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4,149,545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33,620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4,183,165</w:t>
            </w:r>
          </w:p>
        </w:tc>
      </w:tr>
      <w:tr>
        <w:trPr>
          <w:trHeight w:val="173"/>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202,134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203,587</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8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4,379</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4,379</w:t>
            </w:r>
          </w:p>
        </w:tc>
      </w:tr>
      <w:tr>
        <w:trPr>
          <w:trHeight w:val="129"/>
        </w:trPr>
        <w:tc>
          <w:tcPr>
            <w:tcW w:w="16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Treasury stock acquired through</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2"/>
                <w:szCs w:val="12"/>
                <w:color w:val="auto"/>
              </w:rPr>
              <w:t>surrender of shares for tax</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63"/>
        </w:trPr>
        <w:tc>
          <w:tcPr>
            <w:tcW w:w="1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withholding</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(1,737)</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stock through share-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8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based compensation plans</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1,230</w:t>
            </w:r>
          </w:p>
        </w:tc>
      </w:tr>
      <w:tr>
        <w:trPr>
          <w:trHeight w:val="173"/>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14,145</w:t>
            </w:r>
          </w:p>
        </w:tc>
      </w:tr>
      <w:tr>
        <w:trPr>
          <w:trHeight w:val="13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Dividends declared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2"/>
                <w:szCs w:val="12"/>
                <w:color w:val="auto"/>
              </w:rPr>
              <w:t>($0.24807 per common</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share)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(61,330)</w:t>
            </w:r>
          </w:p>
        </w:tc>
      </w:tr>
      <w:tr>
        <w:trPr>
          <w:trHeight w:val="129"/>
        </w:trPr>
        <w:tc>
          <w:tcPr>
            <w:tcW w:w="16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Subsidiary dividends to non-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1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controlling interests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r>
      <w:tr>
        <w:trPr>
          <w:trHeight w:val="206"/>
        </w:trPr>
        <w:tc>
          <w:tcPr>
            <w:tcW w:w="1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September 30, 2025</w:t>
            </w: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293,636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2,047,017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2,475,936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11,889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(226,770)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4,308,366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34,578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4,342,944</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4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3"/>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5"/>
                <w:szCs w:val="15"/>
                <w:color w:val="auto"/>
              </w:rPr>
            </w:pPr>
          </w:p>
        </w:tc>
      </w:tr>
      <w:tr>
        <w:trPr>
          <w:trHeight w:val="23"/>
        </w:trPr>
        <w:tc>
          <w:tcPr>
            <w:tcW w:w="7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449,754</w:t>
            </w:r>
          </w:p>
        </w:tc>
        <w:tc>
          <w:tcPr>
            <w:tcW w:w="120" w:type="dxa"/>
            <w:vAlign w:val="bottom"/>
          </w:tcPr>
          <w:p>
            <w:pPr>
              <w:spacing w:after="0"/>
              <w:rPr>
                <w:sz w:val="20"/>
                <w:szCs w:val="20"/>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203,587</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537,115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476,277</w:t>
            </w: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operating activities and non-cash items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(38,560)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(79,964)</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(228,625)</w:t>
            </w:r>
          </w:p>
        </w:tc>
      </w:tr>
      <w:tr>
        <w:trPr>
          <w:trHeight w:val="225"/>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868,345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451,126</w:t>
            </w: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for property, plant and equipment</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(1,236,806)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(472,531)</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sale of property, plant and equipment</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35,993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w:t>
            </w: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foreign exchange forward contracts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46,902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51,947</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for foreign exchange forward contracts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(43,245)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(45,784)</w:t>
            </w: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for short-term investments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(951,743)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(588,012)</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sale of short-term investments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250,404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140,961</w:t>
            </w: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maturities of short-term investments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540,639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350,819</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3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13,671</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2,941</w:t>
            </w:r>
          </w:p>
        </w:tc>
      </w:tr>
      <w:tr>
        <w:trPr>
          <w:trHeight w:val="225"/>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(1,344,185)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(554,517)</w:t>
            </w: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1,150,000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of long-term debt</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(108,444)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(360,527)</w:t>
            </w: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for debt issuance costs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(21,287)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(13,235)</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for capped call transactions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(56,350)</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of finance lease obligations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(35,611)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(44,246)</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of dividends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(62,101)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(61,299)</w:t>
            </w: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for repurchase of common stock</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(32,328)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3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w:t>
            </w:r>
          </w:p>
        </w:tc>
      </w:tr>
      <w:tr>
        <w:trPr>
          <w:trHeight w:val="225"/>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833,512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518,863</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fluctuations on cash, cash equivalents and restricted cash</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6,630</w:t>
            </w:r>
          </w:p>
        </w:tc>
      </w:tr>
      <w:tr>
        <w:trPr>
          <w:trHeight w:val="225"/>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358,621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422,102</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1,446,123</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1,134,312</w:t>
            </w:r>
          </w:p>
        </w:tc>
      </w:tr>
      <w:tr>
        <w:trPr>
          <w:trHeight w:val="225"/>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1,804,744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1,556,414</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3"/>
        </w:trPr>
        <w:tc>
          <w:tcPr>
            <w:tcW w:w="7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Property, plant and equipment included in capital expenditures payable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478,456</w:t>
            </w:r>
          </w:p>
        </w:tc>
        <w:tc>
          <w:tcPr>
            <w:tcW w:w="120" w:type="dxa"/>
            <w:vAlign w:val="bottom"/>
          </w:tcPr>
          <w:p>
            <w:pPr>
              <w:spacing w:after="0"/>
              <w:rPr>
                <w:sz w:val="20"/>
                <w:szCs w:val="20"/>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354,205</w:t>
            </w:r>
          </w:p>
        </w:tc>
      </w:tr>
      <w:tr>
        <w:trPr>
          <w:trHeight w:val="23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Right of use assets acquired through operating lease liabilities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10,171</w:t>
            </w:r>
          </w:p>
        </w:tc>
      </w:tr>
      <w:tr>
        <w:trPr>
          <w:trHeight w:val="233"/>
        </w:trPr>
        <w:tc>
          <w:tcPr>
            <w:tcW w:w="7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Right of use assets acquired through finance lease liabilities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50,837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28,485</w:t>
            </w:r>
          </w:p>
        </w:tc>
      </w:tr>
      <w:tr>
        <w:trPr>
          <w:trHeight w:val="23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Property, plant and equipment acquired through exchange and derecognition of right of use assets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29,255</w:t>
            </w:r>
          </w:p>
        </w:tc>
      </w:tr>
      <w:tr>
        <w:trPr>
          <w:trHeight w:val="233"/>
        </w:trPr>
        <w:tc>
          <w:tcPr>
            <w:tcW w:w="7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Grants and incentive receivables recognized for qualified capital expenditures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178,603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33,261</w:t>
            </w: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Interim Financial Statements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Basis of Presentation. </w:t>
      </w:r>
      <w:r>
        <w:rPr>
          <w:rFonts w:ascii="Times New Roman" w:cs="Times New Roman" w:eastAsia="Times New Roman" w:hAnsi="Times New Roman"/>
          <w:sz w:val="17"/>
          <w:szCs w:val="17"/>
          <w:color w:val="auto"/>
        </w:rPr>
        <w:t>The Consolidated Financial Statements and related disclosures as of September 30, 2026, and for the three and nine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2026 and 2025, contained in this Form 10-Q (the “Consolidated Financial Statements”) are unaudited pursuant to the rules and regulations of the SEC. The December 31, 2025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2025 Form 10-K. The results of operations for the three and nine months ended September 30, 2026 are not necessarily indicative of the results to be expected for the full year ending December 31, 2026. Unless the context otherwise requires, all references to “Amkor,” “we,” “us” or “our” are to Amkor Technology, Inc. and its wholly and majority-owned subsidiaries. Certain prior year amounts have been recast to conform to current year presentation.</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Use of Estimates. </w:t>
      </w:r>
      <w:r>
        <w:rPr>
          <w:rFonts w:ascii="Times New Roman" w:cs="Times New Roman" w:eastAsia="Times New Roman" w:hAnsi="Times New Roman"/>
          <w:sz w:val="17"/>
          <w:szCs w:val="17"/>
          <w:color w:val="auto"/>
        </w:rPr>
        <w:t>The Consolidated Financial Statements have been prepared in conformity with U.S. GAAP, using management’s best estimates and judgments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Restricted Cash. </w:t>
      </w:r>
      <w:r>
        <w:rPr>
          <w:rFonts w:ascii="Times New Roman" w:cs="Times New Roman" w:eastAsia="Times New Roman" w:hAnsi="Times New Roman"/>
          <w:sz w:val="17"/>
          <w:szCs w:val="17"/>
          <w:color w:val="auto"/>
        </w:rPr>
        <w:t>Restricted cash mainly consists of collateral to fulfill construction requirements and funds to be used for labor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Leases. </w:t>
      </w:r>
      <w:r>
        <w:rPr>
          <w:rFonts w:ascii="Times New Roman" w:cs="Times New Roman" w:eastAsia="Times New Roman" w:hAnsi="Times New Roman"/>
          <w:sz w:val="17"/>
          <w:szCs w:val="17"/>
          <w:color w:val="auto"/>
        </w:rPr>
        <w:t>Total long-term finance lease liabilities as of September 30, 2026 and December 31, 2025 were $117.7 million and $105.0 million,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Goodwill. </w:t>
      </w:r>
      <w:r>
        <w:rPr>
          <w:rFonts w:ascii="Times New Roman" w:cs="Times New Roman" w:eastAsia="Times New Roman" w:hAnsi="Times New Roman"/>
          <w:sz w:val="17"/>
          <w:szCs w:val="17"/>
          <w:color w:val="auto"/>
        </w:rPr>
        <w:t>The balance of goodwill in the Consolidated Balance Sheets contained in this Form 10-Q reflects adjustments for foreign currency translation.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Unbilled Receivables</w:t>
      </w:r>
      <w:r>
        <w:rPr>
          <w:rFonts w:ascii="Times New Roman" w:cs="Times New Roman" w:eastAsia="Times New Roman" w:hAnsi="Times New Roman"/>
          <w:sz w:val="17"/>
          <w:szCs w:val="17"/>
          <w:color w:val="auto"/>
        </w:rPr>
        <w:t>. Total unbilled receivables as of September 30, 2026 and December 31, 2025 were $329.9 million and $294.1 million, respectively.</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Contract Liabilities. </w:t>
      </w:r>
      <w:r>
        <w:rPr>
          <w:rFonts w:ascii="Times New Roman" w:cs="Times New Roman" w:eastAsia="Times New Roman" w:hAnsi="Times New Roman"/>
          <w:sz w:val="17"/>
          <w:szCs w:val="17"/>
          <w:color w:val="auto"/>
        </w:rPr>
        <w:t>Contract liabilities were $547.6 million and $390.8 million as of September 30, 2026 and December 31, 2025, respectively. As of September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30, 2026 and December 31, 2025, the short-term portions of the liabilities were $127.5 million and $69.6 million, respectively. Of the remaining contract liability balance as of September 30, 2026, $406.3 million is expected to be recognized in revenue over the next 1-5 years, and $13.9 million over the next 5-10 years. Revenue recognized during the nine months ended September 30, 2026 and 2025 that was included in the contract liabilities balance at the beginning of the period was $46.3 million and $48.7 million, respectively. As of September 30, 2026, $200.0 million of standby letters of credit were issued and outstanding related to customer advance payments received.</w:t>
      </w:r>
    </w:p>
    <w:p>
      <w:pPr>
        <w:spacing w:after="0" w:line="1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Grant Accounting. </w:t>
      </w:r>
      <w:r>
        <w:rPr>
          <w:rFonts w:ascii="Times New Roman" w:cs="Times New Roman" w:eastAsia="Times New Roman" w:hAnsi="Times New Roman"/>
          <w:sz w:val="17"/>
          <w:szCs w:val="17"/>
          <w:color w:val="auto"/>
        </w:rPr>
        <w:t>From time to time, we may receive grants from governmental agencies. We recognize grants in our financial statements when there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reasonable assurance that we will comply with conditions attached to the grants and the grants will be received. Investment tax credits and grants receivable recorded reduce the carrying amounts of the qualifying property, plant and equipment in our Consolidated Balance Sheets.</w:t>
      </w:r>
    </w:p>
    <w:p>
      <w:pPr>
        <w:spacing w:after="0" w:line="112"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 xml:space="preserve">In July 2026, certain of our subsidiaries entered into a Foreign Direct Investment Cash Support Agreement with governmental authorities in the Republic of Korea pursuant to applicable foreign investment promotion laws. The agreement provides for potential cash grants of up to approximately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150 billion (approximately $110 million), subject to the subsidiaries’ achievement of specified investment, employment and other performance conditions over a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year period. Certain real property associated with the investment is pledged as collateral to secure potential repayment under the agreement. As of September 30, 2026,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 billion (approximately $11 million) has been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to this agreement, which is included in restricted cash and other non-current liabilities in our Consolidated Balance Sheets.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investment tax credits and grants receivable as of September 30, 2026 and December 31,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5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3"/>
          </w:tcPr>
          <w:p>
            <w:pPr>
              <w:spacing w:after="0" w:line="20" w:lineRule="exact"/>
              <w:rPr>
                <w:sz w:val="1"/>
                <w:szCs w:val="1"/>
                <w:color w:val="auto"/>
              </w:rPr>
            </w:pPr>
          </w:p>
        </w:tc>
      </w:tr>
      <w:tr>
        <w:trPr>
          <w:trHeight w:val="177"/>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3"/>
          </w:tcPr>
          <w:p>
            <w:pPr>
              <w:jc w:val="right"/>
              <w:ind w:right="127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tax credits recorded in:</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33,604</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33,604</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129,905</w:t>
            </w: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Grants receivable recorded in:</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443</w:t>
            </w: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61,706</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13,321</w:t>
            </w:r>
          </w:p>
        </w:tc>
      </w:tr>
    </w:tbl>
    <w:p>
      <w:pPr>
        <w:spacing w:after="0" w:line="2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Recently Issued Standards. </w:t>
      </w:r>
      <w:r>
        <w:rPr>
          <w:rFonts w:ascii="Times New Roman" w:cs="Times New Roman" w:eastAsia="Times New Roman" w:hAnsi="Times New Roman"/>
          <w:sz w:val="17"/>
          <w:szCs w:val="17"/>
          <w:color w:val="auto"/>
        </w:rPr>
        <w:t>In November 2024, the FASB issued ASU 2024-03,</w:t>
      </w:r>
      <w:r>
        <w:rPr>
          <w:rFonts w:ascii="Times New Roman" w:cs="Times New Roman" w:eastAsia="Times New Roman" w:hAnsi="Times New Roman"/>
          <w:sz w:val="17"/>
          <w:szCs w:val="17"/>
          <w:i w:val="1"/>
          <w:iCs w:val="1"/>
          <w:color w:val="auto"/>
        </w:rPr>
        <w:t xml:space="preserve"> Income Statement - Reporting Comprehensive Income - Expense Disaggregation Disclosures (Subtopic 220-40): Disaggregation of Income Statement Expenses </w:t>
      </w:r>
      <w:r>
        <w:rPr>
          <w:rFonts w:ascii="Times New Roman" w:cs="Times New Roman" w:eastAsia="Times New Roman" w:hAnsi="Times New Roman"/>
          <w:sz w:val="17"/>
          <w:szCs w:val="17"/>
          <w:color w:val="auto"/>
        </w:rPr>
        <w:t>(“ASU 2024-03”), which was subsequently amended and clarified. ASU 2024-03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requires disaggregation of key expense categories such as inventory purchases, employee compensation, depreciation and intangible asset amortization in the financial statements. ASU 2024-03 is effective for annual reporting periods beginning after December 15, 2026, and interim periods within annual reporting periods beginning after December 15, 2027. Early adoption is permitted. Adoption of this ASU should be applied either prospectively after the effective date or retrospectively to any or all periods presented in the financial statements. We are currently evaluating the impact of this new standard on our financial statements, which is expected to result in enhanced disclosures.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Intangibles—Goodwill and Other—Internal-Use Software (Subtopic 350-40)</w:t>
      </w:r>
      <w:r>
        <w:rPr>
          <w:rFonts w:ascii="Times New Roman" w:cs="Times New Roman" w:eastAsia="Times New Roman" w:hAnsi="Times New Roman"/>
          <w:sz w:val="17"/>
          <w:szCs w:val="17"/>
          <w:color w:val="auto"/>
        </w:rPr>
        <w:t xml:space="preserve"> (“ASU 2025-06”). ASU 2025-06 removes all references to project stages throughout ASC 350-40 and clarifies the applicable threshold to begin capitalizing costs. ASU 2025-06 is effective for annual reporting periods beginning after December 15, 2027, and interim periods within those annual reporting periods. Early adoption is permitted as of the beginning of an annual reporting period. Adoption of this ASU should be applied using a prospective transition approach, a modified transition approach based on project status or a retrospective transition approach. We are currently evaluating the impact of this new standard on our financial statements and disclosures.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2025-10, </w:t>
      </w:r>
      <w:r>
        <w:rPr>
          <w:rFonts w:ascii="Times New Roman" w:cs="Times New Roman" w:eastAsia="Times New Roman" w:hAnsi="Times New Roman"/>
          <w:sz w:val="17"/>
          <w:szCs w:val="17"/>
          <w:i w:val="1"/>
          <w:iCs w:val="1"/>
          <w:color w:val="auto"/>
        </w:rPr>
        <w:t>Government Grants (Topic 832)</w:t>
      </w:r>
      <w:r>
        <w:rPr>
          <w:rFonts w:ascii="Times New Roman" w:cs="Times New Roman" w:eastAsia="Times New Roman" w:hAnsi="Times New Roman"/>
          <w:sz w:val="17"/>
          <w:szCs w:val="17"/>
          <w:color w:val="auto"/>
        </w:rPr>
        <w:t xml:space="preserve"> (“ASU 2025-10”). ASU 2025-10 provides guidance on the accounting for government grants received by a business entity, including grants related to assets and grants related to income. ASU 2025-10 is effective for annual reporting periods beginning after December 15, 2028, and interim periods within those annual reporting periods. Early adoption is permitted as of the beginning of an annual reporting period. Adoption of this ASU should be applied using the following transition methods: (i) a modified prospective approach for government grants that are entered into on or after, or not complete as of, the effective date; (ii) a modified retrospective approach for government grants that are entered into on or after, or not complete as of, the beginning of earliest period presented; or (iii) a retrospective approach for all government grants. We are currently evaluating the impact of this new standard on our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Business Segments, Product Groups and End Markets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revenue, profit or loss and significant segment expenses for our single operating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27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1,990,557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1,986,968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5,573,223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4,819,935</w:t>
            </w:r>
          </w:p>
        </w:tc>
      </w:tr>
      <w:tr>
        <w:trPr>
          <w:trHeight w:val="23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Materials cost of sales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1,009,293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1,142,159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2,908,576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2,633,927</w:t>
            </w:r>
          </w:p>
        </w:tc>
      </w:tr>
      <w:tr>
        <w:trPr>
          <w:trHeight w:val="233"/>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Labor cost of sales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182,597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571,637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518,647</w:t>
            </w:r>
          </w:p>
        </w:tc>
      </w:tr>
      <w:tr>
        <w:trPr>
          <w:trHeight w:val="23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cost of sales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149,052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491,677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433,355</w:t>
            </w:r>
          </w:p>
        </w:tc>
      </w:tr>
      <w:tr>
        <w:trPr>
          <w:trHeight w:val="233"/>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cost of sales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243,926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228,670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680,182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610,036</w:t>
            </w:r>
          </w:p>
        </w:tc>
      </w:tr>
      <w:tr>
        <w:trPr>
          <w:trHeight w:val="23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83,211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211,541</w:t>
            </w:r>
          </w:p>
        </w:tc>
      </w:tr>
      <w:tr>
        <w:trPr>
          <w:trHeight w:val="233"/>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130,012</w:t>
            </w:r>
          </w:p>
        </w:tc>
      </w:tr>
      <w:tr>
        <w:trPr>
          <w:trHeight w:val="23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52,597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54,850</w:t>
            </w:r>
          </w:p>
        </w:tc>
      </w:tr>
      <w:tr>
        <w:trPr>
          <w:trHeight w:val="233"/>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59,813</w:t>
            </w:r>
          </w:p>
        </w:tc>
      </w:tr>
      <w:tr>
        <w:trPr>
          <w:trHeight w:val="233"/>
        </w:trPr>
        <w:tc>
          <w:tcPr>
            <w:tcW w:w="5860" w:type="dxa"/>
            <w:vAlign w:val="bottom"/>
            <w:shd w:val="clear" w:color="auto" w:fill="CCEEFF"/>
          </w:tcPr>
          <w:p>
            <w:pPr>
              <w:ind w:left="220"/>
              <w:spacing w:after="0" w:line="232"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(16,701)</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(57,390)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(35,833)</w:t>
            </w:r>
          </w:p>
        </w:tc>
      </w:tr>
      <w:tr>
        <w:trPr>
          <w:trHeight w:val="225"/>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net income</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190,919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126,682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449,754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203,587</w:t>
            </w: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 Other segment items include interest income, foreign currency (gain) loss, net and other (income) expense.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represent other balances included in net income or that are regularly provided to the Chief Operating Decision Maker (CODM):</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For the Three Months Ended September 30,</w:t>
            </w:r>
          </w:p>
        </w:tc>
        <w:tc>
          <w:tcPr>
            <w:tcW w:w="100" w:type="dxa"/>
            <w:vAlign w:val="bottom"/>
          </w:tcPr>
          <w:p>
            <w:pPr>
              <w:spacing w:after="0"/>
              <w:rPr>
                <w:sz w:val="15"/>
                <w:szCs w:val="15"/>
                <w:color w:val="auto"/>
              </w:rPr>
            </w:pPr>
          </w:p>
        </w:tc>
        <w:tc>
          <w:tcPr>
            <w:tcW w:w="26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Nine Months Ended September 30,</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82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22,728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17,109</w:t>
            </w:r>
          </w:p>
        </w:tc>
        <w:tc>
          <w:tcPr>
            <w:tcW w:w="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59,120</w:t>
            </w:r>
          </w:p>
        </w:tc>
        <w:tc>
          <w:tcPr>
            <w:tcW w:w="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46,554</w:t>
            </w:r>
          </w:p>
        </w:tc>
      </w:tr>
      <w:tr>
        <w:trPr>
          <w:trHeight w:val="23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30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186,562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537,115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476,277</w:t>
            </w: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548,381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246,445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1,236,806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472,531</w:t>
            </w:r>
          </w:p>
        </w:tc>
      </w:tr>
      <w:tr>
        <w:trPr>
          <w:trHeight w:val="443"/>
        </w:trPr>
        <w:tc>
          <w:tcPr>
            <w:tcW w:w="5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24"/>
                <w:szCs w:val="24"/>
                <w:color w:val="auto"/>
              </w:rPr>
            </w:pPr>
          </w:p>
        </w:tc>
        <w:tc>
          <w:tcPr>
            <w:tcW w:w="1420" w:type="dxa"/>
            <w:vAlign w:val="bottom"/>
            <w:gridSpan w:val="4"/>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w w:val="97"/>
              </w:rPr>
              <w:t>December 31, 2025</w:t>
            </w:r>
          </w:p>
        </w:tc>
      </w:tr>
      <w:tr>
        <w:trPr>
          <w:trHeight w:val="23"/>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10,042,224</w:t>
            </w:r>
          </w:p>
        </w:tc>
        <w:tc>
          <w:tcPr>
            <w:tcW w:w="3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8,136,309</w:t>
            </w:r>
          </w:p>
        </w:tc>
      </w:tr>
      <w:tr>
        <w:trPr>
          <w:trHeight w:val="45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our net sales by product group:</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0"/>
        </w:trPr>
        <w:tc>
          <w:tcPr>
            <w:tcW w:w="5860" w:type="dxa"/>
            <w:vAlign w:val="bottom"/>
          </w:tcPr>
          <w:p>
            <w:pPr>
              <w:spacing w:after="0"/>
              <w:rPr>
                <w:sz w:val="18"/>
                <w:szCs w:val="18"/>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For the Three Months Ended September 30,</w:t>
            </w:r>
          </w:p>
        </w:tc>
        <w:tc>
          <w:tcPr>
            <w:tcW w:w="100" w:type="dxa"/>
            <w:vAlign w:val="bottom"/>
          </w:tcPr>
          <w:p>
            <w:pPr>
              <w:spacing w:after="0"/>
              <w:rPr>
                <w:sz w:val="18"/>
                <w:szCs w:val="18"/>
                <w:color w:val="auto"/>
              </w:rPr>
            </w:pPr>
          </w:p>
        </w:tc>
        <w:tc>
          <w:tcPr>
            <w:tcW w:w="26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Nine Months Ended September 30,</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4"/>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82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Advanced products (1)</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1,631,580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1,683,505</w:t>
            </w:r>
          </w:p>
        </w:tc>
        <w:tc>
          <w:tcPr>
            <w:tcW w:w="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4,560,257</w:t>
            </w:r>
          </w:p>
        </w:tc>
        <w:tc>
          <w:tcPr>
            <w:tcW w:w="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3,975,800</w:t>
            </w:r>
          </w:p>
        </w:tc>
      </w:tr>
      <w:tr>
        <w:trPr>
          <w:trHeight w:val="23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Mainstream products (2)</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358,977</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303,463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1,012,966</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844,135</w:t>
            </w:r>
          </w:p>
        </w:tc>
      </w:tr>
      <w:tr>
        <w:trPr>
          <w:trHeight w:val="24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1,990,557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1,986,968</w:t>
            </w:r>
          </w:p>
        </w:tc>
        <w:tc>
          <w:tcPr>
            <w:tcW w:w="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5,573,223</w:t>
            </w:r>
          </w:p>
        </w:tc>
        <w:tc>
          <w:tcPr>
            <w:tcW w:w="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4,819,935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60" w:hanging="247"/>
        <w:spacing w:after="0"/>
        <w:tabs>
          <w:tab w:leader="none" w:pos="5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Advanced products include flip chip, memory and wafer-level processing and related test services.</w:t>
      </w:r>
    </w:p>
    <w:p>
      <w:pPr>
        <w:spacing w:after="0" w:line="114" w:lineRule="exact"/>
        <w:rPr>
          <w:rFonts w:ascii="Times New Roman" w:cs="Times New Roman" w:eastAsia="Times New Roman" w:hAnsi="Times New Roman"/>
          <w:sz w:val="17"/>
          <w:szCs w:val="17"/>
          <w:color w:val="auto"/>
        </w:rPr>
      </w:pPr>
    </w:p>
    <w:p>
      <w:pPr>
        <w:ind w:left="560" w:hanging="247"/>
        <w:spacing w:after="0"/>
        <w:tabs>
          <w:tab w:leader="none" w:pos="5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sales by end market consist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40" w:type="dxa"/>
            <w:vAlign w:val="bottom"/>
          </w:tcPr>
          <w:p>
            <w:pPr>
              <w:spacing w:after="0"/>
              <w:rPr>
                <w:sz w:val="15"/>
                <w:szCs w:val="15"/>
                <w:color w:val="auto"/>
              </w:rPr>
            </w:pPr>
          </w:p>
        </w:tc>
        <w:tc>
          <w:tcPr>
            <w:tcW w:w="2960" w:type="dxa"/>
            <w:vAlign w:val="bottom"/>
            <w:gridSpan w:val="10"/>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740" w:type="dxa"/>
            <w:vAlign w:val="bottom"/>
            <w:gridSpan w:val="7"/>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Communications (smartphones, tablets)</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33"/>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Computing (data center, infrastructure, PC/laptop, storage)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23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Automotive, industrial and other (ADAS, electrification, infotainment, safety)</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3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Consumer (AR &amp; gaming, connected home, home electronics, wearables)</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3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3.  Other Income and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and expense consist of the following:</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For the Three Months Ended September 30,</w:t>
            </w:r>
          </w:p>
        </w:tc>
        <w:tc>
          <w:tcPr>
            <w:tcW w:w="100" w:type="dxa"/>
            <w:vAlign w:val="bottom"/>
          </w:tcPr>
          <w:p>
            <w:pPr>
              <w:spacing w:after="0"/>
              <w:rPr>
                <w:sz w:val="24"/>
                <w:szCs w:val="24"/>
                <w:color w:val="auto"/>
              </w:rPr>
            </w:pPr>
          </w:p>
        </w:tc>
        <w:tc>
          <w:tcPr>
            <w:tcW w:w="26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23"/>
        </w:trPr>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7"/>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(22,728)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(17,109)</w:t>
            </w:r>
          </w:p>
        </w:tc>
        <w:tc>
          <w:tcPr>
            <w:tcW w:w="3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(59,120)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(46,554)</w:t>
            </w:r>
          </w:p>
        </w:tc>
        <w:tc>
          <w:tcPr>
            <w:tcW w:w="0" w:type="dxa"/>
            <w:vAlign w:val="bottom"/>
          </w:tcPr>
          <w:p>
            <w:pPr>
              <w:spacing w:after="0"/>
              <w:rPr>
                <w:sz w:val="1"/>
                <w:szCs w:val="1"/>
                <w:color w:val="auto"/>
              </w:rPr>
            </w:pPr>
          </w:p>
        </w:tc>
      </w:tr>
      <w:tr>
        <w:trPr>
          <w:trHeight w:val="233"/>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(gain) loss, net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10,725</w:t>
            </w:r>
          </w:p>
        </w:tc>
        <w:tc>
          <w:tcPr>
            <w:tcW w:w="0" w:type="dxa"/>
            <w:vAlign w:val="bottom"/>
          </w:tcPr>
          <w:p>
            <w:pPr>
              <w:spacing w:after="0"/>
              <w:rPr>
                <w:sz w:val="1"/>
                <w:szCs w:val="1"/>
                <w:color w:val="auto"/>
              </w:rPr>
            </w:pPr>
          </w:p>
        </w:tc>
      </w:tr>
      <w:tr>
        <w:trPr>
          <w:trHeight w:val="23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3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5"/>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(23,367)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(16,701)</w:t>
            </w:r>
          </w:p>
        </w:tc>
        <w:tc>
          <w:tcPr>
            <w:tcW w:w="340" w:type="dxa"/>
            <w:vAlign w:val="bottom"/>
            <w:gridSpan w:val="2"/>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(57,390)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(35,833)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Income tax expense of $79.9 million for the nine months ended September 30, 2026 reflects income taxes, foreign withholding taxes, minimum taxes and certain tax credits.</w:t>
      </w:r>
    </w:p>
    <w:p>
      <w:pPr>
        <w:spacing w:after="0" w:line="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11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9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Unrecognized tax benefits represent reserves for potential tax deficiencies or reductions in tax benefits that could result from federal, state or foreign tax audits. Gross unrecognized tax benefits were $29.5 million and $36.1 million as of September 30, 2026 and December 31, 2025, respectively. As of September 30, 2026, $26.9 million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tax returns that are open to examination in various jurisdictions for tax years 2013-2025. The open years contain matters that could be subject to differing interpretations of applicable tax laws and regulations related to the amount and/or timing of income, deductions and tax credits. There can be no assurance that the outcome of examinations will be favorable. In certain circumstances where we elect to appeal the results of an examination, we may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be required to make tax assessment payments to proceed with the administrative appeal process. Current examinations include 2024 Philippine income tax returns and 2020-2021 California income tax returns.</w:t>
      </w:r>
    </w:p>
    <w:p>
      <w:pPr>
        <w:spacing w:after="0" w:line="9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Earnings Per Share</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(“PSUs”), time-vested restricted stock units (“RSUs”) and shares associated with the conversion of debt instruments.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computation of basic and diluted EPS: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27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36"/>
        </w:trPr>
        <w:tc>
          <w:tcPr>
            <w:tcW w:w="5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3"/>
          </w:tcPr>
          <w:p>
            <w:pPr>
              <w:jc w:val="center"/>
              <w:ind w:left="420"/>
              <w:spacing w:after="0" w:line="137"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8"/>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except per share data)</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7"/>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Amkor common stockholders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126,589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202,134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 basic</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248,015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247,158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247,035</w:t>
            </w:r>
          </w:p>
        </w:tc>
      </w:tr>
      <w:tr>
        <w:trPr>
          <w:trHeight w:val="23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awards</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r>
      <w:tr>
        <w:trPr>
          <w:trHeight w:val="225"/>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 diluted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249,526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248,302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249,712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248,054</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Amkor per common share: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3"/>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10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w:t>
            </w:r>
          </w:p>
        </w:tc>
      </w:tr>
      <w:tr>
        <w:trPr>
          <w:trHeight w:val="23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w:t>
            </w:r>
          </w:p>
        </w:tc>
      </w:tr>
    </w:tbl>
    <w:p>
      <w:pPr>
        <w:spacing w:after="0" w:line="33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potential shares of common stock that were excluded from diluted EPS because the effect of including these potential shares was anti-dilutive: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2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r>
      <w:tr>
        <w:trPr>
          <w:trHeight w:val="23"/>
        </w:trPr>
        <w:tc>
          <w:tcPr>
            <w:tcW w:w="5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7"/>
        </w:trPr>
        <w:tc>
          <w:tcPr>
            <w:tcW w:w="682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110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540" w:type="dxa"/>
            <w:vAlign w:val="bottom"/>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740" w:type="dxa"/>
            <w:vAlign w:val="bottom"/>
            <w:gridSpan w:val="3"/>
          </w:tcPr>
          <w:p>
            <w:pPr>
              <w:jc w:val="right"/>
              <w:ind w:right="108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3"/>
        </w:trPr>
        <w:tc>
          <w:tcPr>
            <w:tcW w:w="6820" w:type="dxa"/>
            <w:vAlign w:val="bottom"/>
            <w:gridSpan w:val="2"/>
            <w:shd w:val="clear" w:color="auto" w:fill="CCEEFF"/>
          </w:tcPr>
          <w:p>
            <w:pPr>
              <w:jc w:val="right"/>
              <w:ind w:right="5351"/>
              <w:spacing w:after="0"/>
              <w:rPr>
                <w:sz w:val="20"/>
                <w:szCs w:val="20"/>
                <w:color w:val="auto"/>
              </w:rPr>
            </w:pPr>
            <w:r>
              <w:rPr>
                <w:rFonts w:ascii="Times New Roman" w:cs="Times New Roman" w:eastAsia="Times New Roman" w:hAnsi="Times New Roman"/>
                <w:sz w:val="17"/>
                <w:szCs w:val="17"/>
                <w:color w:val="auto"/>
              </w:rPr>
              <w:t>Share-based awards</w:t>
            </w:r>
          </w:p>
        </w:tc>
        <w:tc>
          <w:tcPr>
            <w:tcW w:w="5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7"/>
                <w:szCs w:val="17"/>
                <w:color w:val="auto"/>
              </w:rPr>
              <w:t>17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bl>
    <w:p>
      <w:pPr>
        <w:spacing w:after="0" w:line="3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were no potentially dilutive common shares issuable pursuant to the $1.15 billion aggregate principal amount of our 0.00% convertible senior notes due 2031 (the “2031 Notes”) for the three and nine months ended September 30, 2026, as the average market price of our common stock did not exceed the applicable conversion price during those periods. Refer to Note 11 for additional information on the 2031 Notes.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Accumulated Other Comprehensive Income (Loss)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accumulated other comprehensive income (loss), net of tax, consist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4"/>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(Losses) on Available-</w:t>
            </w:r>
          </w:p>
        </w:tc>
        <w:tc>
          <w:tcPr>
            <w:tcW w:w="20" w:type="dxa"/>
            <w:vAlign w:val="bottom"/>
          </w:tcPr>
          <w:p>
            <w:pPr>
              <w:spacing w:after="0"/>
              <w:rPr>
                <w:sz w:val="12"/>
                <w:szCs w:val="12"/>
                <w:color w:val="auto"/>
              </w:rPr>
            </w:pPr>
          </w:p>
        </w:tc>
        <w:tc>
          <w:tcPr>
            <w:tcW w:w="16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Foreign Currency</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for-Sale Debt</w:t>
            </w:r>
          </w:p>
        </w:tc>
        <w:tc>
          <w:tcPr>
            <w:tcW w:w="2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Investments (1)</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Translation (3)</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8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Accumulated other comprehensive income (loss) at December 31,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880" w:type="dxa"/>
            <w:vAlign w:val="bottom"/>
            <w:shd w:val="clear" w:color="auto" w:fill="CCEEFF"/>
          </w:tcPr>
          <w:p>
            <w:pPr>
              <w:jc w:val="right"/>
              <w:ind w:right="4194"/>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(4,159)</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16,833</w:t>
            </w:r>
          </w:p>
        </w:tc>
        <w:tc>
          <w:tcPr>
            <w:tcW w:w="0" w:type="dxa"/>
            <w:vAlign w:val="bottom"/>
          </w:tcPr>
          <w:p>
            <w:pPr>
              <w:spacing w:after="0"/>
              <w:rPr>
                <w:sz w:val="1"/>
                <w:szCs w:val="1"/>
                <w:color w:val="auto"/>
              </w:rPr>
            </w:pPr>
          </w:p>
        </w:tc>
      </w:tr>
      <w:tr>
        <w:trPr>
          <w:trHeight w:val="233"/>
        </w:trPr>
        <w:tc>
          <w:tcPr>
            <w:tcW w:w="4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(loss)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0" w:type="dxa"/>
            <w:vAlign w:val="bottom"/>
          </w:tcPr>
          <w:p>
            <w:pPr>
              <w:spacing w:after="0"/>
              <w:rPr>
                <w:sz w:val="1"/>
                <w:szCs w:val="1"/>
                <w:color w:val="auto"/>
              </w:rPr>
            </w:pPr>
          </w:p>
        </w:tc>
      </w:tr>
      <w:tr>
        <w:trPr>
          <w:trHeight w:val="225"/>
        </w:trPr>
        <w:tc>
          <w:tcPr>
            <w:tcW w:w="48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0" w:type="dxa"/>
            <w:vAlign w:val="bottom"/>
          </w:tcPr>
          <w:p>
            <w:pPr>
              <w:spacing w:after="0"/>
              <w:rPr>
                <w:sz w:val="1"/>
                <w:szCs w:val="1"/>
                <w:color w:val="auto"/>
              </w:rPr>
            </w:pPr>
          </w:p>
        </w:tc>
      </w:tr>
      <w:tr>
        <w:trPr>
          <w:trHeight w:val="161"/>
        </w:trPr>
        <w:tc>
          <w:tcPr>
            <w:tcW w:w="4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Accumulated other comprehensive income (loss) at September 30,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231"/>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15,868</w:t>
            </w:r>
          </w:p>
        </w:tc>
        <w:tc>
          <w:tcPr>
            <w:tcW w:w="0" w:type="dxa"/>
            <w:vAlign w:val="bottom"/>
          </w:tcPr>
          <w:p>
            <w:pPr>
              <w:spacing w:after="0"/>
              <w:rPr>
                <w:sz w:val="1"/>
                <w:szCs w:val="1"/>
                <w:color w:val="auto"/>
              </w:rPr>
            </w:pPr>
          </w:p>
        </w:tc>
      </w:tr>
      <w:tr>
        <w:trPr>
          <w:trHeight w:val="227"/>
        </w:trPr>
        <w:tc>
          <w:tcPr>
            <w:tcW w:w="4880" w:type="dxa"/>
            <w:vAlign w:val="bottom"/>
            <w:tcBorders>
              <w:bottom w:val="single" w:sz="8" w:color="CCEEFF"/>
            </w:tcBorders>
            <w:shd w:val="clear" w:color="auto" w:fill="CCEEFF"/>
          </w:tcPr>
          <w:p>
            <w:pPr>
              <w:jc w:val="right"/>
              <w:ind w:right="4194"/>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Borders>
              <w:bottom w:val="single" w:sz="8" w:color="auto"/>
            </w:tcBorders>
            <w:gridSpan w:val="2"/>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gridSpan w:val="2"/>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w w:val="97"/>
              </w:rPr>
              <w:t>(Losses) on Available-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60"/>
              <w:spacing w:after="0" w:line="154" w:lineRule="exact"/>
              <w:rPr>
                <w:sz w:val="20"/>
                <w:szCs w:val="20"/>
                <w:color w:val="auto"/>
              </w:rPr>
            </w:pPr>
            <w:r>
              <w:rPr>
                <w:rFonts w:ascii="Times New Roman" w:cs="Times New Roman" w:eastAsia="Times New Roman" w:hAnsi="Times New Roman"/>
                <w:sz w:val="14"/>
                <w:szCs w:val="14"/>
                <w:b w:val="1"/>
                <w:bCs w:val="1"/>
                <w:color w:val="auto"/>
                <w:w w:val="97"/>
              </w:rPr>
              <w:t>for-Sale Debt</w:t>
            </w:r>
          </w:p>
        </w:tc>
        <w:tc>
          <w:tcPr>
            <w:tcW w:w="20" w:type="dxa"/>
            <w:vAlign w:val="bottom"/>
          </w:tcPr>
          <w:p>
            <w:pPr>
              <w:spacing w:after="0"/>
              <w:rPr>
                <w:sz w:val="13"/>
                <w:szCs w:val="13"/>
                <w:color w:val="auto"/>
              </w:rPr>
            </w:pPr>
          </w:p>
        </w:tc>
        <w:tc>
          <w:tcPr>
            <w:tcW w:w="1600" w:type="dxa"/>
            <w:vAlign w:val="bottom"/>
            <w:gridSpan w:val="4"/>
          </w:tcPr>
          <w:p>
            <w:pPr>
              <w:ind w:left="60"/>
              <w:spacing w:after="0" w:line="154" w:lineRule="exact"/>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240"/>
              <w:spacing w:after="0" w:line="154" w:lineRule="exact"/>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Investments (1)</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Translation (3)</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8"/>
          </w:tcPr>
          <w:p>
            <w:pPr>
              <w:ind w:lef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8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Accumulated other comprehensive income (loss) at December 31,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880" w:type="dxa"/>
            <w:vAlign w:val="bottom"/>
            <w:shd w:val="clear" w:color="auto" w:fill="CCEEFF"/>
          </w:tcPr>
          <w:p>
            <w:pPr>
              <w:jc w:val="right"/>
              <w:ind w:right="4194"/>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(510)</w:t>
            </w:r>
          </w:p>
        </w:tc>
        <w:tc>
          <w:tcPr>
            <w:tcW w:w="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(8,550)</w:t>
            </w: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7,510</w:t>
            </w:r>
          </w:p>
        </w:tc>
        <w:tc>
          <w:tcPr>
            <w:tcW w:w="0" w:type="dxa"/>
            <w:vAlign w:val="bottom"/>
          </w:tcPr>
          <w:p>
            <w:pPr>
              <w:spacing w:after="0"/>
              <w:rPr>
                <w:sz w:val="1"/>
                <w:szCs w:val="1"/>
                <w:color w:val="auto"/>
              </w:rPr>
            </w:pPr>
          </w:p>
        </w:tc>
      </w:tr>
      <w:tr>
        <w:trPr>
          <w:trHeight w:val="233"/>
        </w:trPr>
        <w:tc>
          <w:tcPr>
            <w:tcW w:w="4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(2,386)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4,872</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(loss)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(209)</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225"/>
        </w:trPr>
        <w:tc>
          <w:tcPr>
            <w:tcW w:w="48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(2,670)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5,433</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4,379</w:t>
            </w:r>
          </w:p>
        </w:tc>
        <w:tc>
          <w:tcPr>
            <w:tcW w:w="0" w:type="dxa"/>
            <w:vAlign w:val="bottom"/>
          </w:tcPr>
          <w:p>
            <w:pPr>
              <w:spacing w:after="0"/>
              <w:rPr>
                <w:sz w:val="1"/>
                <w:szCs w:val="1"/>
                <w:color w:val="auto"/>
              </w:rPr>
            </w:pPr>
          </w:p>
        </w:tc>
      </w:tr>
      <w:tr>
        <w:trPr>
          <w:trHeight w:val="161"/>
        </w:trPr>
        <w:tc>
          <w:tcPr>
            <w:tcW w:w="4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Accumulated other comprehensive income (loss) at September 30,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(3,117)</w:t>
            </w:r>
          </w:p>
        </w:tc>
        <w:tc>
          <w:tcPr>
            <w:tcW w:w="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11,889</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jc w:val="right"/>
              <w:ind w:right="4194"/>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680" w:hanging="367"/>
        <w:spacing w:after="0"/>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reclassified out of accumulated other comprehensive income (loss) are included as other (income) expense, net (Note 3).</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7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reclassified out of accumulated other comprehensive income (loss) are included as a component of net periodic pension cost (Note 12) or other (income) expense, net (Note 3).</w:t>
      </w:r>
    </w:p>
    <w:p>
      <w:pPr>
        <w:spacing w:after="0" w:line="99" w:lineRule="exact"/>
        <w:rPr>
          <w:rFonts w:ascii="Times New Roman" w:cs="Times New Roman" w:eastAsia="Times New Roman" w:hAnsi="Times New Roman"/>
          <w:sz w:val="17"/>
          <w:szCs w:val="17"/>
          <w:color w:val="auto"/>
        </w:rPr>
      </w:pPr>
    </w:p>
    <w:p>
      <w:pPr>
        <w:ind w:left="680" w:hanging="367"/>
        <w:spacing w:after="0"/>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translation includes the gain (loss) from net investment hedges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Investments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of our available-for-sale debt investments as of September 30, 2026 are available to fund current operations and are recorded at fair value (Note 14).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equivalents and available-for-sale debt investments: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September 30, 2026</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Gross Unrealized</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4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Certificate of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10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100" w:type="dxa"/>
            <w:vAlign w:val="bottom"/>
          </w:tcPr>
          <w:p>
            <w:pPr>
              <w:spacing w:after="0"/>
              <w:rPr>
                <w:sz w:val="20"/>
                <w:szCs w:val="20"/>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182,338</w:t>
            </w: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58,800</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239,687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 government bonds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362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cash equivalents (2)</w:t>
            </w: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690,027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689,989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448,851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241,138</w:t>
            </w:r>
          </w:p>
        </w:tc>
        <w:tc>
          <w:tcPr>
            <w:tcW w:w="0" w:type="dxa"/>
            <w:vAlign w:val="bottom"/>
          </w:tcPr>
          <w:p>
            <w:pPr>
              <w:spacing w:after="0"/>
              <w:rPr>
                <w:sz w:val="1"/>
                <w:szCs w:val="1"/>
                <w:color w:val="auto"/>
              </w:rPr>
            </w:pPr>
          </w:p>
        </w:tc>
      </w:tr>
      <w:tr>
        <w:trPr>
          <w:trHeight w:val="233"/>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Asset-backed securities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64,312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64,078</w:t>
            </w: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Certificate of deposits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80,988</w:t>
            </w: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389,551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386,669</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government bonds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5,633</w:t>
            </w: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 government agency bonds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12,571</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government bonds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206,148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206,148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36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773,856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769,146</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219,207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549,939</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791,077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December 31, 2025</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Gross Unrealized</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4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Certificate of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2,501</w:t>
            </w:r>
          </w:p>
        </w:tc>
        <w:tc>
          <w:tcPr>
            <w:tcW w:w="10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2,501</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2,501</w:t>
            </w:r>
          </w:p>
        </w:tc>
        <w:tc>
          <w:tcPr>
            <w:tcW w:w="100" w:type="dxa"/>
            <w:vAlign w:val="bottom"/>
          </w:tcPr>
          <w:p>
            <w:pPr>
              <w:spacing w:after="0"/>
              <w:rPr>
                <w:sz w:val="20"/>
                <w:szCs w:val="20"/>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63,421</w:t>
            </w: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359,721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359,721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359,721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government bonds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Variable rate demand notes</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cash equivalents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448,638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64,428</w:t>
            </w:r>
          </w:p>
        </w:tc>
        <w:tc>
          <w:tcPr>
            <w:tcW w:w="0" w:type="dxa"/>
            <w:vAlign w:val="bottom"/>
          </w:tcPr>
          <w:p>
            <w:pPr>
              <w:spacing w:after="0"/>
              <w:rPr>
                <w:sz w:val="1"/>
                <w:szCs w:val="1"/>
                <w:color w:val="auto"/>
              </w:rPr>
            </w:pPr>
          </w:p>
        </w:tc>
      </w:tr>
      <w:tr>
        <w:trPr>
          <w:trHeight w:val="233"/>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Asset-backed securities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69,498</w:t>
            </w: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Certificate of deposits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67,967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67,967</w:t>
            </w: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334,361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334,880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334,880</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Municipal bonds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3,046</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government agency bonds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8,602</w:t>
            </w: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 government bonds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Variable rate demand notes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7,053</w:t>
            </w:r>
          </w:p>
        </w:tc>
        <w:tc>
          <w:tcPr>
            <w:tcW w:w="0" w:type="dxa"/>
            <w:vAlign w:val="bottom"/>
          </w:tcPr>
          <w:p>
            <w:pPr>
              <w:spacing w:after="0"/>
              <w:rPr>
                <w:sz w:val="1"/>
                <w:szCs w:val="1"/>
                <w:color w:val="auto"/>
              </w:rPr>
            </w:pPr>
          </w:p>
        </w:tc>
      </w:tr>
      <w:tr>
        <w:trPr>
          <w:trHeight w:val="225"/>
        </w:trPr>
        <w:tc>
          <w:tcPr>
            <w:tcW w:w="36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608,405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609,098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117,138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491,960</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1,057,738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556,388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620" w:hanging="307"/>
        <w:spacing w:after="0" w:line="288" w:lineRule="auto"/>
        <w:tabs>
          <w:tab w:leader="none" w:pos="6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w:t>
      </w:r>
    </w:p>
    <w:p>
      <w:pPr>
        <w:spacing w:after="0" w:line="99" w:lineRule="exact"/>
        <w:rPr>
          <w:rFonts w:ascii="Times New Roman" w:cs="Times New Roman" w:eastAsia="Times New Roman" w:hAnsi="Times New Roman"/>
          <w:sz w:val="17"/>
          <w:szCs w:val="17"/>
          <w:color w:val="auto"/>
        </w:rPr>
      </w:pPr>
    </w:p>
    <w:p>
      <w:pPr>
        <w:ind w:left="620" w:hanging="307"/>
        <w:spacing w:after="0" w:line="288" w:lineRule="auto"/>
        <w:tabs>
          <w:tab w:leader="none" w:pos="6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nine months ended September 30, 2026 and 2025, we sold cash equivalent investments for proceeds of $21.8 million and $20.4 million, respectively, and realized no gain or loss on such sales.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contractual maturities of our cash equivalents and available-for-sale debt investments as of September 30, 2026: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Pr>
          <w:p>
            <w:pPr>
              <w:spacing w:after="0"/>
              <w:rPr>
                <w:sz w:val="15"/>
                <w:szCs w:val="15"/>
                <w:color w:val="auto"/>
              </w:rPr>
            </w:pPr>
          </w:p>
        </w:tc>
        <w:tc>
          <w:tcPr>
            <w:tcW w:w="12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3"/>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7"/>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5"/>
                <w:szCs w:val="15"/>
                <w:color w:val="auto"/>
              </w:rPr>
            </w:pPr>
          </w:p>
        </w:tc>
      </w:tr>
      <w:tr>
        <w:trPr>
          <w:trHeight w:val="23"/>
        </w:trPr>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Within 1 year</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1,133,374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1,132,722</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After 1 year through 5 years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266,197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262,335</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64,312</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64,078</w:t>
            </w:r>
          </w:p>
        </w:tc>
      </w:tr>
      <w:tr>
        <w:trPr>
          <w:trHeight w:val="225"/>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1,463,883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1,459,135</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Actual maturities can differ from contractual maturities due to various factors including whether the issuers have the right to call or prepay obligations without call or prepayment penalties, and we view our available-for-sale debt investments as available for current operations.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September 30, 2026, the amortized cost and the fair market value of our held-to-maturity government bonds (Level 1) maturing within a year were $4.0 million. As of December 31, 2025, the amortized cost and the fair market value of our held-to-maturity government bonds (Level 1) maturing within a year were $3.9 million.</w:t>
      </w:r>
    </w:p>
    <w:p>
      <w:pPr>
        <w:spacing w:after="0" w:line="18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Factoring of Accounts Receivable</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nine months ended September 30, 2026, we sold receivables totaling $30.4 million, net of discounts and fees, which were insignificant for the respective periods. For the three and nine months ended September 30, 2025, we sold receivables totaling $63.2 million and $88.7 million, respectively, net of discounts and fees, which were insignificant for the respective periods.</w:t>
      </w:r>
    </w:p>
    <w:p>
      <w:pPr>
        <w:spacing w:after="0" w:line="35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9.</w:t>
        <w:tab/>
        <w:t>Property, Plant and Equipment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consist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15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r>
      <w:tr>
        <w:trPr>
          <w:trHeight w:val="177"/>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4"/>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247,450</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2,381,237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2,353,344</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8,544,135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7,946,040</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assets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247,123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217,855</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fixtures and other equipment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18,820</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and computer equipment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229,769</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703,195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250,152</w:t>
            </w:r>
          </w:p>
        </w:tc>
      </w:tr>
      <w:tr>
        <w:trPr>
          <w:trHeight w:val="225"/>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12,366,444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11,263,430</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(7,668,660)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(7,392,622)</w:t>
            </w:r>
          </w:p>
        </w:tc>
      </w:tr>
      <w:tr>
        <w:trPr>
          <w:trHeight w:val="225"/>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4,697,784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3,870,808</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2026, we incurred costs of $553.3 million, including capitalized interest of $8.5 million, related to construction of the Arizona Facility.</w:t>
      </w: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 May 2026, we entered into an agreement to purchase approximately 67 additional acres of land for the Arizona Facility for approximately $33 million. The transaction is expected to close in the fourth quarter of 2026.</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depreciation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2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96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186,437</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163,493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536,742</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475,911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  Accrued Expenses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2"/>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consist of the following:</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5"/>
        </w:trPr>
        <w:tc>
          <w:tcPr>
            <w:tcW w:w="7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24"/>
                <w:szCs w:val="24"/>
                <w:color w:val="auto"/>
              </w:rPr>
            </w:pPr>
          </w:p>
        </w:tc>
        <w:tc>
          <w:tcPr>
            <w:tcW w:w="15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r>
      <w:tr>
        <w:trPr>
          <w:trHeight w:val="177"/>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4"/>
          </w:tcPr>
          <w:p>
            <w:pPr>
              <w:jc w:val="right"/>
              <w:ind w:right="12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and benefits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163,509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147,910</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 and customer advances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69,611</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payable</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32,845</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finance lease liability</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44,046</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8,972</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pension and severance obligations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6,996</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73,254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59,713</w:t>
            </w:r>
          </w:p>
        </w:tc>
      </w:tr>
      <w:tr>
        <w:trPr>
          <w:trHeight w:val="225"/>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accrued expenses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535,401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370,093</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Debt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Short-term borrowings and long-term debt consist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15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r>
      <w:tr>
        <w:trPr>
          <w:trHeight w:val="177"/>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4"/>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of Amkor Technology, Inc.:</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Senior notes: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5.875% Senior notes, due October 2033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33"/>
        </w:trPr>
        <w:tc>
          <w:tcPr>
            <w:tcW w:w="7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0.00% Convertible senior notes, due July 2031 (1)</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3"/>
        </w:trPr>
        <w:tc>
          <w:tcPr>
            <w:tcW w:w="7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2025 Revolving Credit Facility, applicable bank rate plus 1.75%, due May 2030 (2)</w:t>
            </w:r>
          </w:p>
        </w:tc>
        <w:tc>
          <w:tcPr>
            <w:tcW w:w="20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Term A Loans, applicable bank rate plus 1.75%, 5.82% as of September 30, 2026, due May 2030</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490,625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of subsidiaries: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Amkor Technology Korea, Inc.:</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3"/>
        </w:trPr>
        <w:tc>
          <w:tcPr>
            <w:tcW w:w="7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Term loan, fixed rate at 3.95%, due May 2027 (3)</w:t>
            </w:r>
          </w:p>
        </w:tc>
        <w:tc>
          <w:tcPr>
            <w:tcW w:w="20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Term loan, fixed rate at 2.12%, due December 2028</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Amkor Technology Japan, Inc.:</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Short-term term loans, variable rate (4)</w:t>
            </w:r>
          </w:p>
        </w:tc>
        <w:tc>
          <w:tcPr>
            <w:tcW w:w="2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Term loan, fixed rate at 1.23%, due December 2026</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16,719</w:t>
            </w:r>
          </w:p>
        </w:tc>
      </w:tr>
      <w:tr>
        <w:trPr>
          <w:trHeight w:val="23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Term loan, fixed rate at 1.59%, due December 2027</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40,074</w:t>
            </w:r>
          </w:p>
        </w:tc>
      </w:tr>
      <w:tr>
        <w:trPr>
          <w:trHeight w:val="233"/>
        </w:trPr>
        <w:tc>
          <w:tcPr>
            <w:tcW w:w="7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Term loan, fixed rate at 1.80%, due December 2028</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67,003</w:t>
            </w:r>
          </w:p>
        </w:tc>
      </w:tr>
      <w:tr>
        <w:trPr>
          <w:trHeight w:val="23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Term loan, fixed rate at 2.05%, due December 2029</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87,295</w:t>
            </w:r>
          </w:p>
        </w:tc>
      </w:tr>
      <w:tr>
        <w:trPr>
          <w:trHeight w:val="233"/>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Term loan, fixed rate at 2.42%, due December 2030</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80,459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95,080</w:t>
            </w:r>
          </w:p>
        </w:tc>
      </w:tr>
      <w:tr>
        <w:trPr>
          <w:trHeight w:val="225"/>
        </w:trPr>
        <w:tc>
          <w:tcPr>
            <w:tcW w:w="7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2,495,821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1,456,171</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Unamortized discount and deferred debt costs, net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(10,925)</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Short-term borrowings and current portion of long-term debt</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(149,502)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(162,430)</w:t>
            </w:r>
          </w:p>
        </w:tc>
      </w:tr>
      <w:tr>
        <w:trPr>
          <w:trHeight w:val="225"/>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2,317,733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1,282,816</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ind w:left="620" w:hanging="307"/>
        <w:spacing w:after="0" w:line="260" w:lineRule="auto"/>
        <w:tabs>
          <w:tab w:leader="none" w:pos="6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2026, we issued the 2031 Notes, which included the exercise in full of the option granted to the initial purchasers to purchase up to an additional $150 million aggregate principal amount of the 2031 Notes. The 2031 Notes are senior, unsecured obligations guaranteed by our wholly-owned subsidiary Guardian Assets, Inc. (“Guardian”). The 2031 Notes will mature on July 15, 2031, unless earlier repurchased, redeemed or converted. We incurred $21.0 million of debt issuance costs associated with the 2031 Notes. As of September 30, 2026, the effective interest rate for the 2031 Notes was 0.35%, primarily reflecting the accretion of debt issuance costs. The net proceeds from the offering of the 2031 Notes were used to fund the cost of entering into privately negotiated capped call transactions (the “Capped Calls”) and for general corporate purposes, including capital expenditures.</w:t>
      </w:r>
    </w:p>
    <w:p>
      <w:pPr>
        <w:spacing w:after="0" w:line="124" w:lineRule="exact"/>
        <w:rPr>
          <w:rFonts w:ascii="Times New Roman" w:cs="Times New Roman" w:eastAsia="Times New Roman" w:hAnsi="Times New Roman"/>
          <w:sz w:val="17"/>
          <w:szCs w:val="17"/>
          <w:color w:val="auto"/>
        </w:rPr>
      </w:pPr>
    </w:p>
    <w:p>
      <w:pPr>
        <w:jc w:val="both"/>
        <w:ind w:left="62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may convert their notes at their option under the following conditions: (1) during any calendar quarter commencing after the calendar quarter ending on June 30, 2026 and only during such fiscal quarter, if the last reported sale price of our common stock for at least 20 trading days (whether or not consecutive) during a period of 30 consecutive trading days ending on, and including, the last trading day of the immediately preceding calendar quarter exceeds (x) before July 15, 2030, 150% and (y) on or after July 15, 2030, 130%, in each case, of the conversion price on each applicable trading day; (2) during the five consecutive business days immediately after any ten consecutive trading day period in which the trading price per $1,000 principal amount of notes for each trading day of such five consecutive trading day period was less than 98% of the product of the last reported sale price of our common stock and the conversion rate on each such trading day; (3) if we call any notes for redemption; or (4) upon the occurrence of specified corporate events. On or after April 15, 2031, until the close of business on the second scheduled trading day immediately preceding the maturity date, holders of the 2031 Notes may convert all or any portion of their notes at any time, in integral multiples of $1,000 principal amount, at the option of the holder regardless of the foregoing conditions. Upon conversion, we will settle conversions of the 2031 Notes by paying cash up to the aggregate principal amount of the 2031 Notes and pay or deliver, as applicable, cash or shares of our common stock, based on the applicable conversion rate(s).</w:t>
      </w:r>
    </w:p>
    <w:p>
      <w:pPr>
        <w:spacing w:after="0" w:line="126"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September 30, 2026, none of the conditions permitting the holders of the 2031 Notes to convert their notes early had been met. Therefore, the 2031 Notes are classified as long-term debt.</w:t>
      </w:r>
    </w:p>
    <w:p>
      <w:pPr>
        <w:spacing w:after="0" w:line="99" w:lineRule="exact"/>
        <w:rPr>
          <w:rFonts w:ascii="Times New Roman" w:cs="Times New Roman" w:eastAsia="Times New Roman" w:hAnsi="Times New Roman"/>
          <w:sz w:val="17"/>
          <w:szCs w:val="17"/>
          <w:color w:val="auto"/>
        </w:rPr>
      </w:pPr>
    </w:p>
    <w:p>
      <w:pPr>
        <w:jc w:val="both"/>
        <w:ind w:left="6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redeem the 2031 Notes prior to May 15, 2029. On or after May 15, 2029, we may redeem all or a portion of the 2031 Notes for cash at our option if certain stock price and other conditions are satisfied, at a redemption price equal to 100% of the principal amount to be redeemed, plus accrued and unpaid interest to, but excluding, the redemption date. If we redeem less than all of the outstanding 2031 Notes, at least $150 million aggregate principal amount of notes must be outstanding and not subject to redemption as of, and after giving effect to, delivery of the relevant notice of redemption. No sinking fund is provided for the 2031 Notes.</w:t>
      </w:r>
    </w:p>
    <w:p>
      <w:pPr>
        <w:spacing w:after="0" w:line="121" w:lineRule="exact"/>
        <w:rPr>
          <w:rFonts w:ascii="Times New Roman" w:cs="Times New Roman" w:eastAsia="Times New Roman" w:hAnsi="Times New Roman"/>
          <w:sz w:val="17"/>
          <w:szCs w:val="17"/>
          <w:color w:val="auto"/>
        </w:rPr>
      </w:pPr>
    </w:p>
    <w:p>
      <w:pPr>
        <w:jc w:val="both"/>
        <w:ind w:left="6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conversion rate for the 2031 Notes is 9.4013 shares of common stock per $1,000 principal amount of the 2031 Notes, which represents an initial conversion price of approximately $106.37 per share of our common stock. The conversion rate and conversion price are subject to customary adjustments upon the occurrence of certain events. In addition, holders who convert their 2031 Notes in connection with a “make-whole fundamental change” (as defined in the indenture for the 2031 Notes) or a notice of redemption may be entitled to an increase in the conversion rate.</w:t>
      </w:r>
    </w:p>
    <w:p>
      <w:pPr>
        <w:spacing w:after="0" w:line="118" w:lineRule="exact"/>
        <w:rPr>
          <w:rFonts w:ascii="Times New Roman" w:cs="Times New Roman" w:eastAsia="Times New Roman" w:hAnsi="Times New Roman"/>
          <w:sz w:val="17"/>
          <w:szCs w:val="17"/>
          <w:color w:val="auto"/>
        </w:rPr>
      </w:pPr>
    </w:p>
    <w:p>
      <w:pPr>
        <w:jc w:val="both"/>
        <w:ind w:left="6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“fundamental change” (as defined in the indenture for the 2031 Notes) occurs, then, subject to certain conditions, noteholders may require us to repurchase their 2031 Notes for cash at a price equal to the principal amount of the 2031 Notes to be repurchased, plus accrued and unpaid interest, if any, to, but excluding, the applicable repurchase date.</w:t>
      </w:r>
    </w:p>
    <w:p>
      <w:pPr>
        <w:spacing w:after="0" w:line="115"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2031 Notes include customary covenants and certain events of default after which the 2031 Notes may be declared immediately due and payable and set forth certain types of bankruptcy or insolvency events of default after which the notes become automatically due and payable.</w:t>
      </w:r>
    </w:p>
    <w:p>
      <w:pPr>
        <w:spacing w:after="0" w:line="99" w:lineRule="exact"/>
        <w:rPr>
          <w:rFonts w:ascii="Times New Roman" w:cs="Times New Roman" w:eastAsia="Times New Roman" w:hAnsi="Times New Roman"/>
          <w:sz w:val="17"/>
          <w:szCs w:val="17"/>
          <w:color w:val="auto"/>
        </w:rPr>
      </w:pPr>
    </w:p>
    <w:p>
      <w:pPr>
        <w:jc w:val="both"/>
        <w:ind w:left="6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issuance of the 2031 Notes, we entered into the Capped Calls with certain financial institutions at an aggregate cost of approximately $56.4 million. The Capped Calls initially cover, subject to anti-dilution adjustments, approximately 10.8 million shares of common stock underlying the 2031 Notes.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Capped Calls can be settled in cash or shares at our option and are expected generally to reduce the potential dilution to common stock upon any conversion of the 2031 Notes and/or offset any cash payments we are required to make in excess of the principal amount of the 2031 Notes. The Capped Calls have an initial strike price of approximately $106.37 per share and an initial cap price of $139.50 per share, which are subject to certain adjustments under the terms of the Capped Calls. The Capped Calls meet the criteria for classification in equity, are not remeasured each reporting period and are included, net of tax, as a reduction to additional paid-in-capital within shareholders’ equity in the Consolidated Balance Sheets.</w:t>
      </w:r>
    </w:p>
    <w:p>
      <w:pPr>
        <w:spacing w:after="0" w:line="122" w:lineRule="exact"/>
        <w:rPr>
          <w:sz w:val="20"/>
          <w:szCs w:val="20"/>
          <w:color w:val="auto"/>
        </w:rPr>
      </w:pPr>
    </w:p>
    <w:p>
      <w:pPr>
        <w:jc w:val="both"/>
        <w:ind w:left="620" w:hanging="307"/>
        <w:spacing w:after="0" w:line="262" w:lineRule="auto"/>
        <w:tabs>
          <w:tab w:leader="none" w:pos="6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2025, we entered into a $1.0 billion senior secured revolving credit facility (the “2025 Revolving Credit Facility”) guaranteed by Amkor Technology Singapore Holding Pte. Ltd. (“ATSH”) and Guardian. The maximum borrowing capacity under the 2025 Revolving Credit Facility is $1.0 billion. The 2025 Revolving Credit Facility includes an uncommitted optional accordion of up to $200.0 million, which may be incurred in the form of revolving commitment increases or term loans. As of September 30, 2026, $1.0 billion was available for future borrowings under the 2025 Revolving Credit Facility.</w:t>
      </w:r>
    </w:p>
    <w:p>
      <w:pPr>
        <w:spacing w:after="0" w:line="81" w:lineRule="exact"/>
        <w:rPr>
          <w:rFonts w:ascii="Times New Roman" w:cs="Times New Roman" w:eastAsia="Times New Roman" w:hAnsi="Times New Roman"/>
          <w:sz w:val="17"/>
          <w:szCs w:val="17"/>
          <w:color w:val="auto"/>
        </w:rPr>
      </w:pPr>
    </w:p>
    <w:p>
      <w:pPr>
        <w:jc w:val="both"/>
        <w:ind w:left="620" w:hanging="307"/>
        <w:spacing w:after="0" w:line="310" w:lineRule="auto"/>
        <w:tabs>
          <w:tab w:leader="none" w:pos="6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May 2024, we entered into a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80.0 billion (approximately $59 million) term loan agreement with the option to borrow and re-borrow the funds up to six times per year through May 2027. Principal is payable at maturity, and interest is payable monthly at a fixed rate of 3.95%. As of September 30, 2026, </w:t>
      </w:r>
      <w:r>
        <w:rPr>
          <w:rFonts w:ascii="Arial" w:cs="Arial" w:eastAsia="Arial" w:hAnsi="Arial"/>
          <w:sz w:val="17"/>
          <w:szCs w:val="17"/>
          <w:color w:val="auto"/>
        </w:rPr>
        <w:t>₩</w:t>
      </w:r>
      <w:r>
        <w:rPr>
          <w:rFonts w:ascii="Times New Roman" w:cs="Times New Roman" w:eastAsia="Times New Roman" w:hAnsi="Times New Roman"/>
          <w:sz w:val="17"/>
          <w:szCs w:val="17"/>
          <w:color w:val="auto"/>
        </w:rPr>
        <w:t>80.0 billion, or approximately $59 million, was available to be drawn.</w:t>
      </w:r>
    </w:p>
    <w:p>
      <w:pPr>
        <w:spacing w:after="0" w:line="56" w:lineRule="exact"/>
        <w:rPr>
          <w:rFonts w:ascii="Times New Roman" w:cs="Times New Roman" w:eastAsia="Times New Roman" w:hAnsi="Times New Roman"/>
          <w:sz w:val="17"/>
          <w:szCs w:val="17"/>
          <w:color w:val="auto"/>
        </w:rPr>
      </w:pPr>
    </w:p>
    <w:p>
      <w:pPr>
        <w:ind w:left="620" w:hanging="307"/>
        <w:spacing w:after="0" w:line="288" w:lineRule="auto"/>
        <w:tabs>
          <w:tab w:leader="none" w:pos="6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entered into various short-term term loans which mature semiannually. Principal and interest are payable in monthly installments. As of September 30, 2026, $3.2 million was available to be drawn.</w:t>
      </w:r>
    </w:p>
    <w:p>
      <w:pPr>
        <w:spacing w:after="0" w:line="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Certain of our debt is collateralized by the land, buildings, equipment and capital stock of subsidiaries. As of September 30, 2026, the collateralized debt balance was $845.8 million, of which $600.2 million of assets and subsidiary capital stock were pledged as collateral.</w:t>
      </w:r>
    </w:p>
    <w:p>
      <w:pPr>
        <w:spacing w:after="0" w:line="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debt of Amkor Technology, Inc. is structurally subordinated in right of payment to all existing and future debt and other liabilities of our subsidiaries. From time to time, Amkor Technology, Inc., ATSH and Guardian guarantee certain indebtedness. The agreements governing our indebtedness contain affirmative and negative covenants, including, among others, covenants to maintain a minimum interest coverage ratio and a maximum consolidated leverage ratio, which restrict our ability to pay dividends and could restrict our operations. These restrictions do not currently have a material impact on our ability to make dividend payments or stock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were in compliance with all debt covenants at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12.</w:t>
        <w:tab/>
        <w:t>Pension Plans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Defined Benefit Pension Plans</w:t>
      </w:r>
    </w:p>
    <w:p>
      <w:pPr>
        <w:spacing w:after="0" w:line="17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27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10,045</w:t>
            </w:r>
          </w:p>
        </w:tc>
      </w:tr>
      <w:tr>
        <w:trPr>
          <w:trHeight w:val="23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4,410</w:t>
            </w: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(3,934)</w:t>
            </w:r>
          </w:p>
        </w:tc>
      </w:tr>
      <w:tr>
        <w:trPr>
          <w:trHeight w:val="23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Recognized actuarial gain</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25"/>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periodic pension cost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10,163</w:t>
            </w:r>
          </w:p>
        </w:tc>
      </w:tr>
      <w:tr>
        <w:trPr>
          <w:trHeight w:val="233"/>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Curtailment gain</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r>
      <w:tr>
        <w:trPr>
          <w:trHeight w:val="250"/>
        </w:trPr>
        <w:tc>
          <w:tcPr>
            <w:tcW w:w="58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pension expense</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components of net periodic pension cost other than the service cost component are included in other (income) expense, net in our Consolidated Statements of Income.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Defined Contribution Pension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sponsor defined contribution pension plans in Korea, Malaysia, Taiwan and the U.S. The following table summarizes our defined contribution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2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96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contribution expense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8,818</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27,210</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24,010</w:t>
            </w:r>
          </w:p>
        </w:tc>
      </w:tr>
    </w:tbl>
    <w:p>
      <w:pPr>
        <w:spacing w:after="0" w:line="29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Derivatives</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We hedge certain net investment positions in foreign subsidiaries. To accomplish this, we enter into foreign currency forward contracts, generally settled monthly, that are designated as hedges of net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2026 and December 31, 2025, our foreign exchange forward contracts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31, 2025</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(Level 2)</w:t>
            </w:r>
          </w:p>
        </w:tc>
        <w:tc>
          <w:tcPr>
            <w:tcW w:w="152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6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 (Level 2)</w:t>
            </w:r>
          </w:p>
        </w:tc>
        <w:tc>
          <w:tcPr>
            <w:tcW w:w="148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5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8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Forward contracts not designated as hedging instruments</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 dollar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17,880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0" w:type="dxa"/>
            <w:vAlign w:val="bottom"/>
          </w:tcPr>
          <w:p>
            <w:pPr>
              <w:spacing w:after="0"/>
              <w:rPr>
                <w:sz w:val="1"/>
                <w:szCs w:val="1"/>
                <w:color w:val="auto"/>
              </w:rPr>
            </w:pPr>
          </w:p>
        </w:tc>
      </w:tr>
      <w:tr>
        <w:trPr>
          <w:trHeight w:val="181"/>
        </w:trPr>
        <w:tc>
          <w:tcPr>
            <w:tcW w:w="2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60"/>
              <w:spacing w:after="0" w:line="181" w:lineRule="exact"/>
              <w:rPr>
                <w:sz w:val="20"/>
                <w:szCs w:val="20"/>
                <w:color w:val="auto"/>
              </w:rPr>
            </w:pPr>
            <w:r>
              <w:rPr>
                <w:rFonts w:ascii="Times New Roman" w:cs="Times New Roman" w:eastAsia="Times New Roman" w:hAnsi="Times New Roman"/>
                <w:sz w:val="17"/>
                <w:szCs w:val="17"/>
                <w:color w:val="auto"/>
              </w:rPr>
              <w:t>Other current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Japanese yen</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assets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0" w:type="dxa"/>
            <w:vAlign w:val="bottom"/>
          </w:tcPr>
          <w:p>
            <w:pPr>
              <w:spacing w:after="0"/>
              <w:rPr>
                <w:sz w:val="1"/>
                <w:szCs w:val="1"/>
                <w:color w:val="auto"/>
              </w:rPr>
            </w:pPr>
          </w:p>
        </w:tc>
      </w:tr>
      <w:tr>
        <w:trPr>
          <w:trHeight w:val="23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Korean won</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Philippine peso</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7"/>
                <w:szCs w:val="17"/>
                <w:color w:val="auto"/>
              </w:rPr>
              <w:t>Other current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Singapore dollar</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assets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Taiwan dollar</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51,488</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36,598</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0" w:type="dxa"/>
            <w:vAlign w:val="bottom"/>
          </w:tcPr>
          <w:p>
            <w:pPr>
              <w:spacing w:after="0"/>
              <w:rPr>
                <w:sz w:val="1"/>
                <w:szCs w:val="1"/>
                <w:color w:val="auto"/>
              </w:rPr>
            </w:pPr>
          </w:p>
        </w:tc>
      </w:tr>
      <w:tr>
        <w:trPr>
          <w:trHeight w:val="161"/>
        </w:trPr>
        <w:tc>
          <w:tcPr>
            <w:tcW w:w="2920" w:type="dxa"/>
            <w:vAlign w:val="bottom"/>
          </w:tcPr>
          <w:p>
            <w:pPr>
              <w:ind w:left="220"/>
              <w:spacing w:after="0" w:line="161" w:lineRule="exact"/>
              <w:rPr>
                <w:sz w:val="20"/>
                <w:szCs w:val="20"/>
                <w:color w:val="auto"/>
              </w:rPr>
            </w:pPr>
            <w:r>
              <w:rPr>
                <w:rFonts w:ascii="Times New Roman" w:cs="Times New Roman" w:eastAsia="Times New Roman" w:hAnsi="Times New Roman"/>
                <w:sz w:val="17"/>
                <w:szCs w:val="17"/>
                <w:color w:val="auto"/>
              </w:rPr>
              <w:t>Total forward contracts not designated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408,389</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415,223</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as hedging instruments</w:t>
            </w:r>
          </w:p>
        </w:tc>
        <w:tc>
          <w:tcPr>
            <w:tcW w:w="1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31, 2025</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(Level 2)</w:t>
            </w:r>
          </w:p>
        </w:tc>
        <w:tc>
          <w:tcPr>
            <w:tcW w:w="15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6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 (Level 2)</w:t>
            </w:r>
          </w:p>
        </w:tc>
        <w:tc>
          <w:tcPr>
            <w:tcW w:w="1480" w:type="dxa"/>
            <w:vAlign w:val="bottom"/>
          </w:tcPr>
          <w:p>
            <w:pPr>
              <w:jc w:val="center"/>
              <w:ind w:left="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5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8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60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6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Forward contracts designated as net investment hedging instruments</w:t>
            </w: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Other current</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Japanese yen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122,757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123,846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assets</w:t>
            </w:r>
          </w:p>
        </w:tc>
        <w:tc>
          <w:tcPr>
            <w:tcW w:w="0" w:type="dxa"/>
            <w:vAlign w:val="bottom"/>
          </w:tcPr>
          <w:p>
            <w:pPr>
              <w:spacing w:after="0"/>
              <w:rPr>
                <w:sz w:val="1"/>
                <w:szCs w:val="1"/>
                <w:color w:val="auto"/>
              </w:rPr>
            </w:pPr>
          </w:p>
        </w:tc>
      </w:tr>
      <w:tr>
        <w:trPr>
          <w:trHeight w:val="161"/>
        </w:trPr>
        <w:tc>
          <w:tcPr>
            <w:tcW w:w="292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7"/>
                <w:szCs w:val="17"/>
                <w:color w:val="auto"/>
              </w:rPr>
              <w:t>Total forward contracts designated as</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460"/>
              <w:spacing w:after="0" w:line="168" w:lineRule="exact"/>
              <w:rPr>
                <w:sz w:val="20"/>
                <w:szCs w:val="20"/>
                <w:color w:val="auto"/>
              </w:rPr>
            </w:pPr>
            <w:r>
              <w:rPr>
                <w:rFonts w:ascii="Times New Roman" w:cs="Times New Roman" w:eastAsia="Times New Roman" w:hAnsi="Times New Roman"/>
                <w:sz w:val="17"/>
                <w:szCs w:val="17"/>
                <w:color w:val="auto"/>
              </w:rPr>
              <w:t>net investment hedging</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122,757</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123,846</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instruments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For the three and nine months ended September 30, 2026, we incurred a net gain of $1.2 million and a net loss of $4.7 million, respectively, due to the impact of derivatives not designated as hedging instruments, which includes the forward costs, and the revaluation of the related hedged items. For the three and nine months ended September 30, 2025, we incurred a net loss of $3.8 million and $10.3 million, respectively, due to the impact of derivatives not designated as hedging instruments, which includes the forward costs, and the revaluation of the related hedged items.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gain or loss recognized on our derivatives designated as net investment hedging instruments: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23"/>
        </w:trPr>
        <w:tc>
          <w:tcPr>
            <w:tcW w:w="4080" w:type="dxa"/>
            <w:vAlign w:val="bottom"/>
          </w:tcPr>
          <w:p>
            <w:pPr>
              <w:spacing w:after="0" w:line="20" w:lineRule="exact"/>
              <w:rPr>
                <w:sz w:val="1"/>
                <w:szCs w:val="1"/>
                <w:color w:val="auto"/>
              </w:rPr>
            </w:pPr>
          </w:p>
        </w:tc>
        <w:tc>
          <w:tcPr>
            <w:tcW w:w="1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Location on Consolidated</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0"/>
                <w:szCs w:val="10"/>
                <w:color w:val="auto"/>
              </w:rPr>
            </w:pPr>
          </w:p>
        </w:tc>
        <w:tc>
          <w:tcPr>
            <w:tcW w:w="98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0"/>
                <w:szCs w:val="10"/>
                <w:color w:val="auto"/>
              </w:rPr>
            </w:pPr>
          </w:p>
        </w:tc>
        <w:tc>
          <w:tcPr>
            <w:tcW w:w="96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Difference between forward rate and spot rate of the</w:t>
            </w:r>
          </w:p>
        </w:tc>
        <w:tc>
          <w:tcPr>
            <w:tcW w:w="18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 (income)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contracts</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 net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(3,982)</w:t>
            </w: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18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 comprehensive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 of forward contracts</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(loss)</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(3,036)</w:t>
            </w:r>
          </w:p>
        </w:tc>
        <w:tc>
          <w:tcPr>
            <w:tcW w:w="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2,722</w:t>
            </w:r>
          </w:p>
        </w:tc>
        <w:tc>
          <w:tcPr>
            <w:tcW w:w="80" w:type="dxa"/>
            <w:vAlign w:val="bottom"/>
          </w:tcPr>
          <w:p>
            <w:pPr>
              <w:spacing w:after="0"/>
              <w:rPr>
                <w:sz w:val="20"/>
                <w:szCs w:val="20"/>
                <w:color w:val="auto"/>
              </w:rPr>
            </w:pPr>
          </w:p>
        </w:tc>
        <w:tc>
          <w:tcPr>
            <w:tcW w:w="440" w:type="dxa"/>
            <w:vAlign w:val="bottom"/>
          </w:tcPr>
          <w:p>
            <w:pPr>
              <w:jc w:val="right"/>
              <w:ind w:right="2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376</w:t>
            </w:r>
          </w:p>
        </w:tc>
        <w:tc>
          <w:tcPr>
            <w:tcW w:w="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2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derivative financial instruments are valued using quoted market prices for similar assets. Counterparties to these derivative contracts are highly rated financial institutions.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measure certain assets and liabilities, including property, plant and equipment and goodwill,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measure the fair value of our debt for disclosure purposes. The following table presents the fair value of our debt: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20" w:type="dxa"/>
            <w:vAlign w:val="bottom"/>
          </w:tcPr>
          <w:p>
            <w:pPr>
              <w:spacing w:after="0"/>
              <w:rPr>
                <w:sz w:val="15"/>
                <w:szCs w:val="15"/>
                <w:color w:val="auto"/>
              </w:rPr>
            </w:pPr>
          </w:p>
        </w:tc>
        <w:tc>
          <w:tcPr>
            <w:tcW w:w="2660" w:type="dxa"/>
            <w:vAlign w:val="bottom"/>
            <w:gridSpan w:val="4"/>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7"/>
        </w:trPr>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42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2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23"/>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7"/>
        </w:trPr>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
        </w:trPr>
        <w:tc>
          <w:tcPr>
            <w:tcW w:w="5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(Level 1)</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473,835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493,964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511,405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493,457</w:t>
            </w: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senior notes (Level 1)</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1,043,142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1,130,635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facilities and term loans (Level 2)</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831,666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842,636</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948,501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951,789</w:t>
            </w:r>
          </w:p>
        </w:tc>
      </w:tr>
      <w:tr>
        <w:trPr>
          <w:trHeight w:val="225"/>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debt</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2,348,643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2,467,235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1,459,906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1,445,246</w:t>
            </w: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estimated fair value of our senior notes and convertible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1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15.</w:t>
        <w:tab/>
        <w:t>Commitments and Contingencies</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generally warrant that our services will be performed in a professional and workmanlike manner and in compliance with our customers’ specifications. We accrue costs for known warranty issues. Historically, our warranty costs have been immaterial.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on our business, liquidity, results of operations, financial condition or cash flows. Our evaluation of the potential impact of these claims and legal proceedings could change in the future.</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w:t>
      </w:r>
    </w:p>
    <w:p>
      <w:pPr>
        <w:spacing w:after="0" w:line="17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enter into various contracts related to the construction and development of our manufacturing facilities. As of September 30, 2026, the remaining commitments under these contracts were approximately $1,951 million.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Amkor is the world’s largest U.S. headquartered outsourced semiconductor assembly and test provider (“OSAT”). We are an industry leader in developing and commercializing advanced packaging and test technologies, which we believe provide substantial value to our customers. Our primary financial objective is profitable sales growth. To achieve this goal, we are focused on leveraging our technology leadership and innovation, providing our customers with a geographically diverse manufacturing footprint, partnering with lead customers in the key markets of high-performance computing (“HPC”) and artificial intelligence (“AI”), automotive, Internet-of-Things (“IoT”) and mobile communications, selectively growing our scale and scope through strategic investments and optimizing utilization of existing assets.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Amkor is a global leader in advanced semiconductor packaging and test technologies. Our technology leadership encompasses areas such as high density fan-out (“HDFO”), 2.5D integration, advanced flip chip, fine pitch bumping, wafer-level processing and advanced system-in-package (“SiP”) solutions which support the industry’s drive toward smaller form factors, higher integration, improved performance and lower power consumption. We provide turnkey solutions that include package design, wafer bump, wafer probe, wafer back-grind, packaging, burn-in, system level and final test and drop shipment services. Our extensive line of packaging and test services covers analog, digital, logic, mixed signal, memory, sensors and radio frequency devices. This breadth of services allows customers to limit the number of suppliers and focus their resources on semiconductor design and wafer fabrication. Our commitment to technology leadership is reinforced by ongoing investment in research and development, and we intend to continue to leverage our investments in advanced technology to meet the demand for these services in key markets.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Amkor’s broad and strategically located manufacturing footprint is a key differentiator, enabling us to deliver flexible, resilient and cost-effective solutions to customers worldwide. With facilities located in key manufacturing regions in Asia and Europe, we provide customers with multiple options to mitigate risk, diversify supply chains and support regionalization initiatives. As a U.S. headquartered OSAT, we are expanding our manufacturing footprint with the construction of a new facility in Arizona. Construction began in the second half of 2025, and we believe that this investment will strengthen our ability to serve customers seeking to regionalize their supply chains and will enhance our participation in U.S. semiconductor initiatives. In addition, we continue to scale production in our Vietnam facility, which opened in 2024, further increasing our capacity and operational flexibility in Asia. Our scale and geographic diversity allow us to qualify production at multiple sites and optimize asset utilization.</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Amkor has built long-standing relationships with most of the world’s leading semiconductor companies over the last five decades. Our operational excellence, high quality, reliability and predictability have been key to attracting and retaining customers. Our collaborative approach enables us to work closely with customers and suppliers to co-develop proprietary process technologies, accelerate time-to-market, improve quality and lower costs. We work closely with lead customers to deliver advanced packaging solutions tailored to evolving industry needs.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HPC supporting AI and increasing demand for improved networking speed and storage within data centers, cloud computing, PCs and laptops are driving increasing demand for semiconductors and advanced packaging in the computing end market. Increasing semiconductor content in automobiles is driving demand for advanced packaging to enable safety features such as advanced driver assistance systems (“ADAS”), in-car computing, radar and digital cockpit features such as infotainment displays and telematics. Increasing battery voltage, higher voltage power converters, onboard chargers, automotive inverter components and microcontrollers also require innovative power packaging solutions. Hearables, watches and augmented and virtual reality devices integrate multiple functions, such as processors, sensors and connectivity devices, into small form factors, which requires innovation in advanced packaging. We have a strong position across multiple device functionalities within premium and high-tier smartphones. We are collaborating with industry leaders as smartphones transition to include artificial intelligence and drive semiconductor growth through the adoption of new wireless standards, integration of a broad range of applications, enhanced features and higher performance requirements to support increased data processing. The trend to greater functionality drives miniaturization and innovation enabled by advanced packaging.</w:t>
      </w:r>
    </w:p>
    <w:p>
      <w:pPr>
        <w:spacing w:after="0" w:line="3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cyclical upturns and downturns in the past. We cannot predict the timing, strength or duration of any correction, economic slowdown, recession or subsequent economic recovery.</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operate in a capital-intensive industry. Servicing our current and future customers requires that we incur significant operating expenses and continue to make significant capital expenditures, which are generally made in advance of expected revenues and without firm customer commitments. We fund our operations, including capital expenditures and other investments and servicing principal and interest obligations with respect to our debt, from cash flows from our operations, existing cash and cash equivalents, borrowings under available debt facilities and/or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 As of September 30, 2026, we had cash and cash equivalents and short-term investments of $1,603.0 million and $773.2 million, respectively.</w:t>
      </w:r>
    </w:p>
    <w:p>
      <w:pPr>
        <w:spacing w:after="0" w:line="1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results of operations and cash flows have historically fluctuated significantly from quarter to quarter due to many factors, including the seasonality of our business, the cyclical nature of the semiconductor industry and other factors discussed in the “Risk Factors” section in Part II, Item 1A of this Form 10-Q. We continue to monitor the recent changes in global trade policy, including tariffs and related trade actions announced by the U.S. and other countries. The degree to which such tariffs and other related actions impact our business, financial condition and results of operations will depend on future developments, which are uncertain. We will continue to make prudent investments, and we will closely manage capacity expansion and control costs in response to any changes in market conditions.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Summary</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sales increased $3.6 million, or 0.2%, to $1,990.6 million for the three months ended September 30, 2026 compared to $1,987.0 million for the three months ended September 30, 2025, primarily due to growth in the computing and automotive and industrial end markets, partially offset by a decrease in the communications end market.</w:t>
      </w:r>
    </w:p>
    <w:p>
      <w:pPr>
        <w:spacing w:after="0" w:line="11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Gross margin for the three months ended September 30, 2026 increased to 18.3% compared to 14.3% for the three months ended September 30, 2025. The increase in gross margin was primarily due to an increase in the proportion of products sold with lower material content.</w:t>
      </w:r>
    </w:p>
    <w:p>
      <w:pPr>
        <w:spacing w:after="0" w:line="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Operating income margin for the three months ended September 30, 2026 increased to 11.3% compared to 8.0% for the three months ended September 30, 2025, primarily due to the increase in our gross margin discussed above.</w:t>
      </w:r>
    </w:p>
    <w:p>
      <w:pPr>
        <w:spacing w:after="0" w:line="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capital expenditures totaled $1,236.8 million for the nine months ended September 30, 2026 compared to $472.5 million for the nine months ended September 30, 2025. Our spending was primarily focused on investments in advanced packaging and test equipment and the Arizona Facility.</w:t>
      </w:r>
    </w:p>
    <w:p>
      <w:pPr>
        <w:spacing w:after="0" w:line="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was $868.3 million for the nine months ended September 30, 2026 compared to $451.1 million for the nine months ended September 30, 2025. This increase was primarily due to higher operating profits, changes in contract liabilities due to customer advance payments and changes in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certain operating data as a percentage of net sales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60" w:type="dxa"/>
            <w:vAlign w:val="bottom"/>
          </w:tcPr>
          <w:p>
            <w:pPr>
              <w:spacing w:after="0"/>
              <w:rPr>
                <w:sz w:val="15"/>
                <w:szCs w:val="15"/>
                <w:color w:val="auto"/>
              </w:rPr>
            </w:pPr>
          </w:p>
        </w:tc>
        <w:tc>
          <w:tcPr>
            <w:tcW w:w="29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78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7"/>
        </w:trPr>
        <w:tc>
          <w:tcPr>
            <w:tcW w:w="5560" w:type="dxa"/>
            <w:vAlign w:val="bottom"/>
          </w:tcPr>
          <w:p>
            <w:pPr>
              <w:spacing w:after="0"/>
              <w:rPr>
                <w:sz w:val="15"/>
                <w:szCs w:val="15"/>
                <w:color w:val="auto"/>
              </w:rPr>
            </w:pPr>
          </w:p>
        </w:tc>
        <w:tc>
          <w:tcPr>
            <w:tcW w:w="134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36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34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3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5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Materials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54.6 %</w:t>
            </w:r>
          </w:p>
        </w:tc>
      </w:tr>
      <w:tr>
        <w:trPr>
          <w:trHeight w:val="217"/>
        </w:trPr>
        <w:tc>
          <w:tcPr>
            <w:tcW w:w="5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Labor</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222"/>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17"/>
        </w:trPr>
        <w:tc>
          <w:tcPr>
            <w:tcW w:w="5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r>
      <w:tr>
        <w:trPr>
          <w:trHeight w:val="21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900" w:type="dxa"/>
            <w:vAlign w:val="bottom"/>
            <w:gridSpan w:val="4"/>
          </w:tcPr>
          <w:p>
            <w:pPr>
              <w:jc w:val="right"/>
              <w:ind w:right="287"/>
              <w:spacing w:after="0"/>
              <w:rPr>
                <w:sz w:val="20"/>
                <w:szCs w:val="20"/>
                <w:color w:val="auto"/>
              </w:rPr>
            </w:pPr>
            <w:r>
              <w:rPr>
                <w:rFonts w:ascii="Times New Roman" w:cs="Times New Roman" w:eastAsia="Times New Roman" w:hAnsi="Times New Roman"/>
                <w:sz w:val="14"/>
                <w:szCs w:val="14"/>
                <w:b w:val="1"/>
                <w:bCs w:val="1"/>
                <w:color w:val="auto"/>
                <w:w w:val="98"/>
              </w:rPr>
              <w:t>For the Nine Months Ended September 30,</w:t>
            </w:r>
          </w:p>
        </w:tc>
        <w:tc>
          <w:tcPr>
            <w:tcW w:w="680" w:type="dxa"/>
            <w:vAlign w:val="bottom"/>
          </w:tcPr>
          <w:p>
            <w:pPr>
              <w:spacing w:after="0"/>
              <w:rPr>
                <w:sz w:val="15"/>
                <w:szCs w:val="15"/>
                <w:color w:val="auto"/>
              </w:rPr>
            </w:pPr>
          </w:p>
        </w:tc>
      </w:tr>
      <w:tr>
        <w:trPr>
          <w:trHeight w:val="23"/>
        </w:trPr>
        <w:tc>
          <w:tcPr>
            <w:tcW w:w="2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7"/>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240" w:type="dxa"/>
            <w:vAlign w:val="bottom"/>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5"/>
                <w:szCs w:val="15"/>
                <w:color w:val="auto"/>
              </w:rPr>
            </w:pPr>
          </w:p>
        </w:tc>
      </w:tr>
      <w:tr>
        <w:trPr>
          <w:trHeight w:val="23"/>
        </w:trPr>
        <w:tc>
          <w:tcPr>
            <w:tcW w:w="2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7"/>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w w:val="97"/>
              </w:rPr>
              <w:t>(In thousands, except percentages)</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
        </w:trPr>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1,990,557</w:t>
            </w: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1,986,968</w:t>
            </w:r>
          </w:p>
        </w:tc>
        <w:tc>
          <w:tcPr>
            <w:tcW w:w="4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6"/>
                <w:szCs w:val="16"/>
                <w:color w:val="auto"/>
              </w:rPr>
              <w:t>3,589</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0.2 %  $</w:t>
            </w: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5,573,223</w:t>
            </w:r>
          </w:p>
        </w:tc>
        <w:tc>
          <w:tcPr>
            <w:tcW w:w="38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4,819,935</w:t>
            </w:r>
          </w:p>
        </w:tc>
        <w:tc>
          <w:tcPr>
            <w:tcW w:w="4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6"/>
                <w:szCs w:val="16"/>
                <w:color w:val="auto"/>
              </w:rPr>
              <w:t>753,288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r>
    </w:tbl>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increase in net sales for the three months ended September 30, 2026 compared to the three months ended September 30, 2025 was primarily due to growth in the computing and automotive and industrial end markets, partially offset by a decrease in the communications end market. The computing and automotive and industrial end markets both grew 37% for the three months ended September 30, 2026 compared to 2025, primarily due to strength in datacenter and ADAS applications. The communications end market decreased 28% for the three months ended September 30, 2026 compared to 2025, primarily driven by timing for transfer of SiP programs from our factories in Korea to Vietnam and related preproduction activities.</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increase in net sales for the nine months ended September 30, 2026 compared to the nine months ended September 30, 2025 was due to growth across all end markets. The automotive and industrial and computing end markets grew 33% and 27%, respectively, for the nine months ended September 30, 2026 compared to 2025, primarily due to strong demand across advanced applications. Additionally, the communications and consumer end markets both grew 6% for the nine months ended September 30, 2026 compared to 2025, primarily driven by increased supported content in premium tier smartphones during the first half of the year and strength in traditional consumer products.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 and Gross Margin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5"/>
                <w:szCs w:val="15"/>
                <w:color w:val="auto"/>
              </w:rPr>
            </w:pPr>
          </w:p>
        </w:tc>
        <w:tc>
          <w:tcPr>
            <w:tcW w:w="3600" w:type="dxa"/>
            <w:vAlign w:val="bottom"/>
            <w:gridSpan w:val="5"/>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6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98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1000" w:type="dxa"/>
            <w:vAlign w:val="bottom"/>
          </w:tcPr>
          <w:p>
            <w:pPr>
              <w:jc w:val="right"/>
              <w:ind w:right="46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98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98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4"/>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
        </w:trPr>
        <w:tc>
          <w:tcPr>
            <w:tcW w:w="3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6"/>
                <w:szCs w:val="16"/>
                <w:color w:val="auto"/>
              </w:rPr>
              <w:t>363,529</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284,490</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79,039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6"/>
                <w:szCs w:val="16"/>
                <w:color w:val="auto"/>
              </w:rPr>
              <w:t>921,151</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623,970</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297,181</w:t>
            </w:r>
          </w:p>
        </w:tc>
      </w:tr>
      <w:tr>
        <w:trPr>
          <w:trHeight w:val="21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Pr>
          <w:p>
            <w:pPr>
              <w:spacing w:after="0"/>
              <w:rPr>
                <w:sz w:val="18"/>
                <w:szCs w:val="18"/>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18.3 %</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16.5 %</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bl>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higher material costs than our other products. An increase in production of these higher material cost products could have an impact on our profitability, depending on overall utilization.</w:t>
      </w:r>
    </w:p>
    <w:p>
      <w:pPr>
        <w:spacing w:after="0" w:line="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Gross profit and gross margin increased for the three months ended September 30, 2026 compared to the three months ended September 30, 2025, primarily due to an increase in the proportion of products sold with lower material content.</w:t>
      </w:r>
    </w:p>
    <w:p>
      <w:pPr>
        <w:spacing w:after="0" w:line="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Gross profit and gross margin increased for the nine months ended September 30, 2026 compared to the nine months ended September 30, 2025, primarily due to higher factory utilization driven by the increase in net sales and an increase in the proportion of products sold with lower material content, partially offset by increased overhead and employee compensation costs.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00" w:type="dxa"/>
            <w:vAlign w:val="bottom"/>
            <w:gridSpan w:val="5"/>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40" w:type="dxa"/>
            <w:vAlign w:val="bottom"/>
          </w:tcPr>
          <w:p>
            <w:pPr>
              <w:spacing w:after="0"/>
              <w:rPr>
                <w:sz w:val="15"/>
                <w:szCs w:val="15"/>
                <w:color w:val="auto"/>
              </w:rPr>
            </w:pPr>
          </w:p>
        </w:tc>
      </w:tr>
      <w:tr>
        <w:trPr>
          <w:trHeight w:val="23"/>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7"/>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820" w:type="dxa"/>
            <w:vAlign w:val="bottom"/>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820" w:type="dxa"/>
            <w:vAlign w:val="bottom"/>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180" w:type="dxa"/>
            <w:vAlign w:val="bottom"/>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5"/>
                <w:szCs w:val="15"/>
                <w:color w:val="auto"/>
              </w:rPr>
            </w:pPr>
          </w:p>
        </w:tc>
      </w:tr>
      <w:tr>
        <w:trPr>
          <w:trHeight w:val="23"/>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7"/>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8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99,026</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83,211</w:t>
            </w:r>
          </w:p>
        </w:tc>
        <w:tc>
          <w:tcPr>
            <w:tcW w:w="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15,815</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19.0 %  $</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274,917</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211,541</w:t>
            </w:r>
          </w:p>
        </w:tc>
        <w:tc>
          <w:tcPr>
            <w:tcW w:w="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67"/>
              <w:spacing w:after="0"/>
              <w:rPr>
                <w:sz w:val="20"/>
                <w:szCs w:val="20"/>
                <w:color w:val="auto"/>
              </w:rPr>
            </w:pPr>
            <w:r>
              <w:rPr>
                <w:rFonts w:ascii="Times New Roman" w:cs="Times New Roman" w:eastAsia="Times New Roman" w:hAnsi="Times New Roman"/>
                <w:sz w:val="16"/>
                <w:szCs w:val="16"/>
                <w:color w:val="auto"/>
              </w:rPr>
              <w:t>63,376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r>
    </w:tbl>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Selling, general and administrative expenses increased for the three months ended September 30, 2026 compared to the three months ended September 30, 2025, primarily due to increased employee compensation and software maintenance costs.</w:t>
      </w:r>
    </w:p>
    <w:p>
      <w:pPr>
        <w:spacing w:after="0" w:line="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Selling, general and administrative expenses increased for the nine months ended September 30, 2026 compared to the nine months ended September 30, 2025, primarily due to the prior year net amount recognized for a cash receipt subject to bankruptcy proceedings related to our Nanium acquisition in May 2017 (“Nanium Insolvency Receipt”). The increase in selling, general and administrative expenses in 2026 compared to 2025 was also due to higher employee compensation and software maintenance costs, partially offset by a gain on disposal of fixed assets in 2026. The amount recognized from the Nanium Insolvency Receipt for the nine months ended September 30, 2025, net of amounts remitted to the selling shareholders, was $32.4 million. The gain recognized from the disposal of fixed assets for the nine months ended September 30, 2026 was approximately $21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80" w:type="dxa"/>
            <w:vAlign w:val="bottom"/>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00" w:type="dxa"/>
            <w:vAlign w:val="bottom"/>
            <w:gridSpan w:val="5"/>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40" w:type="dxa"/>
            <w:vAlign w:val="bottom"/>
          </w:tcPr>
          <w:p>
            <w:pPr>
              <w:spacing w:after="0"/>
              <w:rPr>
                <w:sz w:val="15"/>
                <w:szCs w:val="15"/>
                <w:color w:val="auto"/>
              </w:rPr>
            </w:pPr>
          </w:p>
        </w:tc>
      </w:tr>
      <w:tr>
        <w:trPr>
          <w:trHeight w:val="23"/>
        </w:trPr>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7"/>
        </w:trPr>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820" w:type="dxa"/>
            <w:vAlign w:val="bottom"/>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820" w:type="dxa"/>
            <w:vAlign w:val="bottom"/>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180" w:type="dxa"/>
            <w:vAlign w:val="bottom"/>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5"/>
                <w:szCs w:val="15"/>
                <w:color w:val="auto"/>
              </w:rPr>
            </w:pPr>
          </w:p>
        </w:tc>
      </w:tr>
      <w:tr>
        <w:trPr>
          <w:trHeight w:val="23"/>
        </w:trPr>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7"/>
        </w:trPr>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8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
        </w:trPr>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39,792</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42,352</w:t>
            </w:r>
          </w:p>
        </w:tc>
        <w:tc>
          <w:tcPr>
            <w:tcW w:w="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6"/>
                <w:szCs w:val="16"/>
                <w:color w:val="auto"/>
              </w:rPr>
              <w:t>(2,560)</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  $</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121,382</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130,012</w:t>
            </w:r>
          </w:p>
        </w:tc>
        <w:tc>
          <w:tcPr>
            <w:tcW w:w="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6"/>
                <w:szCs w:val="16"/>
                <w:color w:val="auto"/>
              </w:rPr>
              <w:t>(8,630)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bl>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Research and development expenses decreased for the three and nine months ended September 30, 2026 compared to the three and nine months ended September 30, 2025, primarily due to projects moving into production, partially offset by development projects in new advanced packaging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and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8"/>
          </w:tcPr>
          <w:p>
            <w:pPr>
              <w:ind w:left="7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00" w:type="dxa"/>
            <w:vAlign w:val="bottom"/>
          </w:tcPr>
          <w:p>
            <w:pPr>
              <w:spacing w:after="0"/>
              <w:rPr>
                <w:sz w:val="15"/>
                <w:szCs w:val="15"/>
                <w:color w:val="auto"/>
              </w:rPr>
            </w:pPr>
          </w:p>
        </w:tc>
      </w:tr>
      <w:tr>
        <w:trPr>
          <w:trHeight w:val="23"/>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7"/>
        </w:trPr>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5"/>
                <w:szCs w:val="15"/>
                <w:color w:val="auto"/>
              </w:rPr>
            </w:pPr>
          </w:p>
        </w:tc>
      </w:tr>
      <w:tr>
        <w:trPr>
          <w:trHeight w:val="23"/>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7"/>
        </w:trPr>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
        </w:trPr>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7"/>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27.0 %</w:t>
            </w:r>
          </w:p>
        </w:tc>
      </w:tr>
      <w:tr>
        <w:trPr>
          <w:trHeight w:val="22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(8,659)</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17"/>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4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4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40"/>
        </w:trPr>
        <w:tc>
          <w:tcPr>
            <w:tcW w:w="2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(9,981)</w:t>
            </w: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(23,810)</w:t>
            </w: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Interest expense decreased for the three months ended September 30, 2026 compared to the three months ended September 30, 2025, primarily due to increased capitalized interest associated with construction of the Arizona Facility.</w:t>
      </w:r>
    </w:p>
    <w:p>
      <w:pPr>
        <w:spacing w:after="0" w:line="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income increased for the three and nine months ended September 30, 2026 compared to the three and nine months ended September 30, 2025, primarily due to increases in our cash and cash equivalent and available-for-sale debt investment balances. In addition, the increase in interest income for the nine months ended September 30, 2026 compared to 2025 was partially offset by lower interest rates.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changes in foreign currency (gain) loss, net for the nine months ended September 30, 2026 compared to the nine months ended September 30, 2025 were primarily due to the weakening of the U.S. dollar compared to the foreign currencies of our subsidiaries and the associated impact on our unhedged net monetary exposures in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2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 September 30,</w:t>
            </w:r>
          </w:p>
        </w:tc>
        <w:tc>
          <w:tcPr>
            <w:tcW w:w="420" w:type="dxa"/>
            <w:vAlign w:val="bottom"/>
          </w:tcPr>
          <w:p>
            <w:pPr>
              <w:spacing w:after="0"/>
              <w:rPr>
                <w:sz w:val="15"/>
                <w:szCs w:val="15"/>
                <w:color w:val="auto"/>
              </w:rPr>
            </w:pPr>
          </w:p>
        </w:tc>
        <w:tc>
          <w:tcPr>
            <w:tcW w:w="3280" w:type="dxa"/>
            <w:vAlign w:val="bottom"/>
            <w:gridSpan w:val="5"/>
          </w:tcPr>
          <w:p>
            <w:pPr>
              <w:jc w:val="center"/>
              <w:ind w:right="327"/>
              <w:spacing w:after="0"/>
              <w:rPr>
                <w:sz w:val="20"/>
                <w:szCs w:val="20"/>
                <w:color w:val="auto"/>
              </w:rPr>
            </w:pPr>
            <w:r>
              <w:rPr>
                <w:rFonts w:ascii="Times New Roman" w:cs="Times New Roman" w:eastAsia="Times New Roman" w:hAnsi="Times New Roman"/>
                <w:sz w:val="14"/>
                <w:szCs w:val="14"/>
                <w:b w:val="1"/>
                <w:bCs w:val="1"/>
                <w:color w:val="auto"/>
                <w:w w:val="98"/>
              </w:rPr>
              <w:t>For the Nine Months Ended September 30,</w:t>
            </w:r>
          </w:p>
        </w:tc>
      </w:tr>
      <w:tr>
        <w:trPr>
          <w:trHeight w:val="23"/>
        </w:trPr>
        <w:tc>
          <w:tcPr>
            <w:tcW w:w="3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7"/>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920" w:type="dxa"/>
            <w:vAlign w:val="bottom"/>
          </w:tcPr>
          <w:p>
            <w:pPr>
              <w:jc w:val="right"/>
              <w:ind w:right="3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5"/>
                <w:szCs w:val="15"/>
                <w:color w:val="auto"/>
              </w:rPr>
            </w:pPr>
          </w:p>
        </w:tc>
        <w:tc>
          <w:tcPr>
            <w:tcW w:w="7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40" w:type="dxa"/>
            <w:vAlign w:val="bottom"/>
          </w:tcPr>
          <w:p>
            <w:pPr>
              <w:spacing w:after="0"/>
              <w:rPr>
                <w:sz w:val="15"/>
                <w:szCs w:val="15"/>
                <w:color w:val="auto"/>
              </w:rPr>
            </w:pPr>
          </w:p>
        </w:tc>
        <w:tc>
          <w:tcPr>
            <w:tcW w:w="920" w:type="dxa"/>
            <w:vAlign w:val="bottom"/>
          </w:tcPr>
          <w:p>
            <w:pPr>
              <w:jc w:val="right"/>
              <w:ind w:right="3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940" w:type="dxa"/>
            <w:vAlign w:val="bottom"/>
          </w:tcPr>
          <w:p>
            <w:pPr>
              <w:jc w:val="right"/>
              <w:ind w:right="28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3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7"/>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
        </w:trPr>
        <w:tc>
          <w:tcPr>
            <w:tcW w:w="3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39,243</w:t>
            </w:r>
          </w:p>
        </w:tc>
        <w:tc>
          <w:tcPr>
            <w:tcW w:w="3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27,715</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79,891</w:t>
            </w:r>
          </w:p>
        </w:tc>
        <w:tc>
          <w:tcPr>
            <w:tcW w:w="3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59,813</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20,078</w:t>
            </w:r>
          </w:p>
        </w:tc>
      </w:tr>
    </w:tbl>
    <w:p>
      <w:pPr>
        <w:spacing w:after="0" w:line="1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Income tax expense, which includes foreign withholding taxes, minimum taxes and certain tax credits, reflects the applicable tax rates in effect in the various countries where our income is earned and is subject to volatility depending on the relative mix of earnings in each location. Income tax expense increased for the three and nine months ended September 30, 2026 compared to the three and nine months ended September 30, 2025, primarily due to an increase in income before income taxes.</w:t>
      </w:r>
    </w:p>
    <w:p>
      <w:pPr>
        <w:spacing w:after="0" w:line="2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nine months ended September 30, 2026 and 2025, our subsidiaries in Singapore and Vietnam operated under various conditional reduced tax rates. The conditional reduced tax rates granted to certain operations in Korea expired during 2025. As these conditional reduced tax rates expire, income earned in these jurisdictions will be subject to higher statutory income tax rates, which may cause our effective tax rate to increase.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4 to our Consolidated Financial Statements in Part 1, Item 1 of this Form 10-Q for additional information about our income tax expense.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assess our liquidity based on our current expectations regarding sales and operating expenses, capital spending, dividend payments, stock and debt repurchases, debt service requirements, lease obligations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12 months due to a variety of factors, including the cyclical nature of the semiconductor industry and other factors discussed in Part II, Item 1A of this Form 10-Q.</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primary source of cash and the source of funds for our operations are cash flows from operations, current cash and cash equivalents, short-term investments, borrowings under available credit facilities and proceeds from debt or equity financings. Please refer to Note 7 and Note 11 to our Consolidated Financial Statements in Part 1, Item 1 of this Form 10-Q for additional information on our investments and borrowings, respectively.</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September 30, 2026, we had cash and cash equivalents and short-term investments of $2,376.2 million. Included in our cash and short-term investments balances as of September 30, 2026 is $1,356.5 million held offshore by our foreign subsidiaries. We have the ability to access cash held offshore by our foreign subsidiaries primarily through the repayment of intercompany debt obligations. If we were to distribute this offshore cash to the United States as dividends from our foreign subsidiaries, the dividends generally would not be subject to U.S. federal income tax, but the distributions may be subject to foreign withholding and state income taxes.</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nine months ended September 30, 2026 and 2025, we sold receivables totaling $30.4 million and $88.7 million, respectively, net of discounts and fees, which were insignificant for the respective periods.</w:t>
      </w:r>
    </w:p>
    <w:p>
      <w:pPr>
        <w:spacing w:after="0" w:line="12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9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December 2024, we signed a Direct Funding Agreement with the U.S. Department of Commerce (the “Commerce Department”) for the award of up to $407 million in government incentives pursuant to the CHIPS Act, and no funds have been received to date. The award requires us to achieve construction and production milestones over the next several years. In addition, we are eligible to receive a 35% investment tax credit on qualified investments in U.S. semiconductor manufacturing under the CHIPS Act and the One Big Beautiful Bill Act (“OBBBA”).</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maximum amount available to draw under the 2025 Revolving Credit Facility is $1.0 billion. The 2025 Revolving Credit Facility includes an uncommitted optional accordion of up to $200.0 million, which may be incurred in the form of revolving commitment increases or term loans. As of September 30, 2026, we had availability of $1.0 billion under the 2025 Revolving Credit Facility. As of September 30, 2026, our foreign subsidiaries also had $62.1 million available to be borrowed under term loan credit facilities.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May 2026, we issued $1.15 billion of the 2031 Notes. The 2031 Notes were issued pursuant to, and are governed by, an indenture, dated as of May 5, 2026, between us and U.S. Bank Trust Company, National Association, as trustee. In connection with the issuance of the 2031 Notes, we entered into the Capped Calls. The net proceeds from the offering of the 2031 Notes were used to fund the cost of entering into the Capped Calls and for general corporate purposes, including capital expenditures. For additional information regarding the 2031 Notes and Capped Calls, please refer to Note 11 to our Consolidated Financial Statements in Part I, Item 1 of this Form 10-Q.</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September 30, 2026, we had debt of $2,467.2 million, with $149.5 million payable within 12 months. As of September 30, 2026, the interest payment obligations, based on stated coupon rates for fixed rate debt and interest rates applicable at September 30, 2026 for variable rate debt, were $330.3 million during the remaining term of the debt. Interest payment obligations payable within 12 months were $64.3 million. We were in compliance with all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covenants as of September 30, 2026, and we expect to remain in compliance with these covenants for at least the next 12 months. For additional information regarding our debt arrangements, please refer to Note 11 to our Consolidated Financial Statements in Part I, Item 1 of this Form 10-Q.</w:t>
      </w:r>
    </w:p>
    <w:p>
      <w:pPr>
        <w:spacing w:after="0" w:line="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of our debt agreements contain affirmative and negative covenants including, among others, covenants to maintain a minimum interest coverage ratio and a maximum consolidated leverage ratio, which restrict our ability to pay dividends and could restrict our operations. These restrictions do not currently have a material impact on our ability to make dividend payments or stock repurchases.</w:t>
      </w:r>
    </w:p>
    <w:p>
      <w:pPr>
        <w:spacing w:after="0" w:line="11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debt of Amkor Technology, Inc. is structurally subordinated in right of payment to all existing and future debt and other liabilities of our subsidiaries. From time to time, Amkor Technology, Inc., ATSH and Guardian guarantee certain indebtedness.</w:t>
      </w:r>
    </w:p>
    <w:p>
      <w:pPr>
        <w:spacing w:after="0" w:line="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lease certain machinery and equipment, office space and manufacturing facilities. As of September 30, 2026, our total remaining operating lease obligations and finance lease obligations were $98.5 million and $185.6 million, respectively, with $25.2 million and $52.2 million payable within 12 months, respectively. The lease obligations represent our future minimum lease payments including interest payments.</w:t>
      </w:r>
    </w:p>
    <w:p>
      <w:pPr>
        <w:spacing w:after="0" w:line="11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have off-balance sheet purchase obligations for capital expenditures, long-term supply contracts and other contractual commitments. As of September 30, 2026, the purchase obligations were $2,687.6 million, with $2,635.3 million payable within 12 months.</w:t>
      </w:r>
    </w:p>
    <w:p>
      <w:pPr>
        <w:spacing w:after="0" w:line="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enter into customer advance payment agreements from time to time, some of which require standby letters of credit. As of September 30, 2026, we expect to receive approximately $1.9 billion of customer advance payments in the next 12 months, $200 million of which will require a standby letter of credit upon receipt. In October 2026, we entered into an advance payment agreement with a customer pursuant to which we expect to receive approximately $1.3 billion in 2027. For additional information regarding our customer advance payments, please refer to Note 1 to our Consolidated Financial Statements in Part I, Item 1 of this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Returns</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November 2022, we announced our intention to return 40 percent to 50 percent of cumulative free cash flow generated over time, beginning 2022. This return may be in the form of dividends and stock repurchases, subject to a variety of factors, including strategic investments, other capital allocation priorities and Board of Directors’ approval.</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nine months ended September 30, 2026, we paid total quarterly cash dividends of $62.1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23, 2026, our Board of Directors adopted a stock repurchase program (the “Stock Repurchase Program”) authorizing the repurchase of up to $300.0 million of our common stock, exclusive of any fees, commissions or other expenses. Under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During the nine months ended September 30, 2026, we repurchased 0.7 million shares of common stock for an aggregate purchase price of $32.3 million. At September 30, 2026, $267.7 million was available for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Resources</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make significant capital expenditures in order to service the demand of our customers. During the nine months ended September 30, 2026, our capital expenditures totaled $1,236.8 million, which are primarily focused on investments in advanced packaging and test equipment and the Arizona Facility.</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expect that our 2026 capital expenditures will be approximately $2.5 billion. The increase from 2025 is primarily due to the construction of the Arizona Facility. Ultimately, the amount of our 2026 capital expenditures will depend on several factors including, among others, the timing and implementation of any capital projects under review, including the progress of construction of the Arizona Facility,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provided by (used in) operating, investing and financing activities for the nine months ended September 30, 2026 and 2025,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40" w:type="dxa"/>
            <w:vAlign w:val="bottom"/>
            <w:gridSpan w:val="3"/>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8"/>
              </w:rPr>
              <w:t>For the Nine Months Ended September 30,</w:t>
            </w:r>
          </w:p>
        </w:tc>
      </w:tr>
      <w:tr>
        <w:trPr>
          <w:trHeight w:val="23"/>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5"/>
                <w:szCs w:val="15"/>
                <w:color w:val="auto"/>
              </w:rPr>
            </w:pPr>
          </w:p>
        </w:tc>
        <w:tc>
          <w:tcPr>
            <w:tcW w:w="1180" w:type="dxa"/>
            <w:vAlign w:val="bottom"/>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2"/>
          </w:tcPr>
          <w:p>
            <w:pPr>
              <w:jc w:val="center"/>
              <w:ind w:left="783"/>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180" w:type="dxa"/>
            <w:vAlign w:val="bottom"/>
          </w:tcPr>
          <w:p>
            <w:pPr>
              <w:spacing w:after="0"/>
              <w:rPr>
                <w:sz w:val="15"/>
                <w:szCs w:val="15"/>
                <w:color w:val="auto"/>
              </w:rPr>
            </w:pPr>
          </w:p>
        </w:tc>
      </w:tr>
      <w:tr>
        <w:trPr>
          <w:trHeight w:val="23"/>
        </w:trPr>
        <w:tc>
          <w:tcPr>
            <w:tcW w:w="7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868,345</w:t>
            </w:r>
          </w:p>
        </w:tc>
        <w:tc>
          <w:tcPr>
            <w:tcW w:w="6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center"/>
              <w:ind w:left="418"/>
              <w:spacing w:after="0"/>
              <w:rPr>
                <w:sz w:val="20"/>
                <w:szCs w:val="20"/>
                <w:color w:val="auto"/>
              </w:rPr>
            </w:pPr>
            <w:r>
              <w:rPr>
                <w:rFonts w:ascii="Times New Roman" w:cs="Times New Roman" w:eastAsia="Times New Roman" w:hAnsi="Times New Roman"/>
                <w:sz w:val="17"/>
                <w:szCs w:val="17"/>
                <w:color w:val="auto"/>
              </w:rPr>
              <w:t>451,126</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320" w:type="dxa"/>
            <w:vAlign w:val="bottom"/>
          </w:tcPr>
          <w:p>
            <w:pPr>
              <w:spacing w:after="0"/>
              <w:rPr>
                <w:sz w:val="20"/>
                <w:szCs w:val="20"/>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(1,344,185)</w:t>
            </w:r>
          </w:p>
        </w:tc>
        <w:tc>
          <w:tcPr>
            <w:tcW w:w="600" w:type="dxa"/>
            <w:vAlign w:val="bottom"/>
          </w:tcPr>
          <w:p>
            <w:pPr>
              <w:spacing w:after="0"/>
              <w:rPr>
                <w:sz w:val="20"/>
                <w:szCs w:val="20"/>
                <w:color w:val="auto"/>
              </w:rPr>
            </w:pPr>
          </w:p>
        </w:tc>
        <w:tc>
          <w:tcPr>
            <w:tcW w:w="118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auto"/>
              </w:rPr>
              <w:t>(554,517)</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833,512</w:t>
            </w:r>
          </w:p>
        </w:tc>
        <w:tc>
          <w:tcPr>
            <w:tcW w:w="60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left="418"/>
              <w:spacing w:after="0"/>
              <w:rPr>
                <w:sz w:val="20"/>
                <w:szCs w:val="20"/>
                <w:color w:val="auto"/>
              </w:rPr>
            </w:pPr>
            <w:r>
              <w:rPr>
                <w:rFonts w:ascii="Times New Roman" w:cs="Times New Roman" w:eastAsia="Times New Roman" w:hAnsi="Times New Roman"/>
                <w:sz w:val="17"/>
                <w:szCs w:val="17"/>
                <w:color w:val="auto"/>
              </w:rPr>
              <w:t>518,863</w:t>
            </w:r>
          </w:p>
        </w:tc>
      </w:tr>
    </w:tbl>
    <w:p>
      <w:pPr>
        <w:spacing w:after="0" w:line="1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Our cash flow provided by operating activities for the nine months ended September 30, 2026 increased by $417.2 million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nine months ended September 30, 2025, primarily due to higher operating profits, changes in contract liabilities due to customer advance payments and changes in working capital.</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Our cash flow used in investing activities for the nine months ended September 30, 2026 increased by $789.7 million compared to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September 30, 2025, primarily due to higher payments for property, plant and equipment and net payments for short-term investments in the current year. Payments for property, plant and equipment can fluctuate based on the timing of purchase, receipt and acceptance of equipment.</w:t>
      </w:r>
    </w:p>
    <w:p>
      <w:pPr>
        <w:spacing w:after="0" w:line="10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The changes in financing activities for the nine months ended September 30, 2026 compared to the nine months ended September 30,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were primarily due to increased net debt borrowings, partially offset by payments for Capped Calls and repurchase of common stock.</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40" w:type="dxa"/>
            <w:vAlign w:val="bottom"/>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3"/>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5"/>
                <w:szCs w:val="15"/>
                <w:color w:val="auto"/>
              </w:rPr>
            </w:pPr>
          </w:p>
        </w:tc>
      </w:tr>
      <w:tr>
        <w:trPr>
          <w:trHeight w:val="23"/>
        </w:trPr>
        <w:tc>
          <w:tcPr>
            <w:tcW w:w="7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868,345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451,126</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for property, plant and equipment</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(1,236,806)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(472,531)</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and grants for property, plant and equipment</w:t>
            </w:r>
          </w:p>
        </w:tc>
        <w:tc>
          <w:tcPr>
            <w:tcW w:w="3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49,393</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8,248</w:t>
            </w:r>
          </w:p>
        </w:tc>
      </w:tr>
      <w:tr>
        <w:trPr>
          <w:trHeight w:val="225"/>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Free cash flow</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(319,068)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(13,157)</w:t>
            </w: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For information regarding recently adopted and recently issued accounting standards, please refer to Note 1 to our Consolidated Financial Statements in Part I, Item 1 of this Form 10-Q.</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 Sensitivity</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17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spacing w:after="0" w:line="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September 30, 2026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nine months ended September 30, 2026 would have been approximately $21 million lower, due to the remeasurement of monetary assets and liabilities.</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we have foreign currency exchange rate exposure on our results of operations. For the nine months ended September 30, 2026, approximately 90% of our net sales were denominated in U.S. dollars. Our remaining net sales were principally denominated in Japanese yen. For the nine months ended September 30, 2026, approximately 60%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September 30, 2026 to assess the potential impact of fluctuations in exchange rates for all foreign denominated sales and operating expenses. Assuming that all foreign currencies appreciated 10% against the U.S. dollar, our operating income for the nine months ended September 30, 2026 would have been approximately $132 million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Consolidated Financial Statements are impacted by changes in exchange rates at the entity where the local currency is the functional currency. To mitigate this impact, we started to hedge certain net investment positions in foreign subsidiaries by entering into foreign currency forward contracts that are designated as hedges of net investments beginning in April 2024. The effect of foreign exchange rate translation for these entities, inclusive of our foreign currency forward contracts, was a gain of $4.5 million and $5.4 million for the nine months ended September 30, 2026 and 2025, respectively, and was recognized as an adjustment to equity through other comprehensive income (loss).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decreasing in value if market interest rates increase and increasing in value if market interest rates decrease. Due to the relatively short-term nature of our investment portfolio, we believe that an immediate change in interest rates will not have a material impact on the fair value of our available-for-sale debt investments. For information regarding our available-for-sale debt investments, see Note 7 to our Consolidated Financial Statements in Part I, Item 1 of this Form 10-Q.</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interest rates, maturities and fair value of our fixed and variable rate debt as of September 30, 2026:</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80" w:type="dxa"/>
            <w:vAlign w:val="bottom"/>
          </w:tcPr>
          <w:p>
            <w:pPr>
              <w:spacing w:after="0"/>
              <w:rPr>
                <w:sz w:val="14"/>
                <w:szCs w:val="14"/>
                <w:color w:val="auto"/>
              </w:rPr>
            </w:pPr>
          </w:p>
        </w:tc>
        <w:tc>
          <w:tcPr>
            <w:tcW w:w="1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2026 - Remaining</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2"/>
                <w:szCs w:val="12"/>
                <w:b w:val="1"/>
                <w:bCs w:val="1"/>
                <w:color w:val="auto"/>
              </w:rPr>
              <w:t>2027</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2"/>
                <w:szCs w:val="12"/>
                <w:b w:val="1"/>
                <w:bCs w:val="1"/>
                <w:color w:val="auto"/>
              </w:rPr>
              <w:t>2028</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2"/>
                <w:szCs w:val="12"/>
                <w:b w:val="1"/>
                <w:bCs w:val="1"/>
                <w:color w:val="auto"/>
              </w:rPr>
              <w:t>2029</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2"/>
                <w:szCs w:val="12"/>
                <w:b w:val="1"/>
                <w:bCs w:val="1"/>
                <w:color w:val="auto"/>
              </w:rPr>
              <w:t>2030</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Thereafter</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73"/>
        </w:trPr>
        <w:tc>
          <w:tcPr>
            <w:tcW w:w="1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 in thousands)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5"/>
        </w:trPr>
        <w:tc>
          <w:tcPr>
            <w:tcW w:w="1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 debt</w:t>
            </w:r>
          </w:p>
        </w:tc>
        <w:tc>
          <w:tcPr>
            <w:tcW w:w="3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49,872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132,841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112,893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40,658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18,932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1,650,000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2,005,196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1,861,403</w:t>
            </w:r>
          </w:p>
        </w:tc>
      </w:tr>
      <w:tr>
        <w:trPr>
          <w:trHeight w:val="184"/>
        </w:trPr>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7"/>
        </w:trPr>
        <w:tc>
          <w:tcPr>
            <w:tcW w:w="1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rate debt</w:t>
            </w:r>
          </w:p>
        </w:tc>
        <w:tc>
          <w:tcPr>
            <w:tcW w:w="3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3,125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425,000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490,625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487,240</w:t>
            </w:r>
          </w:p>
        </w:tc>
      </w:tr>
      <w:tr>
        <w:trPr>
          <w:trHeight w:val="184"/>
        </w:trPr>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1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5"/>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52,997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145,341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137,893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65,658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443,932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1,650,000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2,495,821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2,348,643</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information regarding the fair value of our long-term debt, see Note 14 to our Consolidated Financial Statements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September 30, 2026 and concluded those disclosure controls and procedures were effective as of that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September 30, 2026. There have been no changes in our internal control over financial reporting that occurred during the three months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7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Information about legal proceedings is set forth in Note 15 to our Consolidated Financial Statements in Part I, Item 1 of this Form 10-Q and in Note 17 to the 2025 Form 10-K.</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 Operations and Industry</w:t>
      </w:r>
    </w:p>
    <w:p>
      <w:pPr>
        <w:spacing w:after="0" w:line="134" w:lineRule="exact"/>
        <w:rPr>
          <w:sz w:val="20"/>
          <w:szCs w:val="20"/>
          <w:color w:val="auto"/>
        </w:rPr>
      </w:pPr>
    </w:p>
    <w:p>
      <w:pPr>
        <w:ind w:left="620" w:hanging="307"/>
        <w:spacing w:after="0" w:line="256"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the cyclical and volatile semiconductor industry and vulnerability to industry downturns and declines in global economic and financial conditions;</w:t>
      </w:r>
    </w:p>
    <w:p>
      <w:pPr>
        <w:spacing w:after="0" w:line="11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costs, quality, availability and delivery times of raw materials, components and equipment;</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results and cash flows;</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with established competitors in the packaging and test business, the internal capabilities of integrated device manufacturers (“IDMs”), and other competitors, including foundries and contract manufacturers;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investments in equipment and facilities to support the demand of our customers;</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warranty claims, product return and liability risks, and the risk of negative publicity if our products fail, as well as the risk of litigation incident to our business;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achieving the relatively high-capacity utilization rates necessary to realize satisfactory gross margins given our high percentage of fixed costs;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absence of backlog and the short-term nature of our customers’ commitments;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downward pressure on the prices of our packaging and test services;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manufacturing yields;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downturn or lower sales to customers in the automotive industry;</w:t>
      </w:r>
    </w:p>
    <w:p>
      <w:pPr>
        <w:spacing w:after="0" w:line="15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key customers or concentration of customers in certain end markets, such as mobile communications and automotive;</w:t>
      </w:r>
    </w:p>
    <w:p>
      <w:pPr>
        <w:spacing w:after="0" w:line="14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funding our liquidity needs; and</w:t>
      </w:r>
    </w:p>
    <w:p>
      <w:pPr>
        <w:spacing w:after="0" w:line="1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with integrating diverse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International Sales and Operations</w:t>
      </w:r>
    </w:p>
    <w:p>
      <w:pPr>
        <w:spacing w:after="0" w:line="146" w:lineRule="exact"/>
        <w:rPr>
          <w:sz w:val="20"/>
          <w:szCs w:val="20"/>
          <w:color w:val="auto"/>
        </w:rPr>
      </w:pPr>
    </w:p>
    <w:p>
      <w:pPr>
        <w:ind w:left="620" w:hanging="307"/>
        <w:spacing w:after="0"/>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international factories and operations, and risks relating to trade restrictions and regional conflict, including restrictive trade barriers, export controls, tariffs, customs and duties.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Cybersecurity, Data Privacy and Intellectual Property</w:t>
      </w:r>
    </w:p>
    <w:p>
      <w:pPr>
        <w:spacing w:after="0" w:line="159" w:lineRule="exact"/>
        <w:rPr>
          <w:sz w:val="20"/>
          <w:szCs w:val="20"/>
          <w:color w:val="auto"/>
        </w:rPr>
      </w:pPr>
    </w:p>
    <w:p>
      <w:pPr>
        <w:ind w:left="620" w:hanging="307"/>
        <w:spacing w:after="0" w:line="288"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proprietary technology, protect our proprietary technology, operate without infringing the proprietary rights of others, and implement new technologies;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continuing development and implementation of changes to, and maintenance and security of, our information technology systems.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Indebtedness</w:t>
      </w:r>
    </w:p>
    <w:p>
      <w:pPr>
        <w:spacing w:after="0" w:line="146"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restrictive covenants in the indentures and agreements governing our current and future indebtedness;</w:t>
      </w:r>
    </w:p>
    <w:p>
      <w:pPr>
        <w:spacing w:after="0" w:line="1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indebtedness;</w:t>
      </w:r>
    </w:p>
    <w:p>
      <w:pPr>
        <w:spacing w:after="0" w:line="14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interest rate increases on our variable rate indebtedness;</w:t>
      </w:r>
    </w:p>
    <w:p>
      <w:pPr>
        <w:spacing w:after="0" w:line="14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 and changes in credit risk;</w:t>
      </w:r>
    </w:p>
    <w:p>
      <w:pPr>
        <w:spacing w:after="0" w:line="127" w:lineRule="exact"/>
        <w:rPr>
          <w:rFonts w:ascii="Times New Roman" w:cs="Times New Roman" w:eastAsia="Times New Roman" w:hAnsi="Times New Roman"/>
          <w:sz w:val="17"/>
          <w:szCs w:val="17"/>
          <w:color w:val="auto"/>
        </w:rPr>
      </w:pPr>
    </w:p>
    <w:p>
      <w:pPr>
        <w:ind w:left="620" w:hanging="307"/>
        <w:spacing w:after="0" w:line="256"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terms of the 2031 Notes could delay or prevent an otherwise beneficial takeover of us, may dilute the ownership interest of existing stockholders or may otherwise adversely affect the price of our common stock;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Capped Calls entered into in connection with the issuance of the 2031 Notes subject us to counterparty risk.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Common Stock</w:t>
      </w:r>
    </w:p>
    <w:p>
      <w:pPr>
        <w:spacing w:after="0" w:line="134"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certain of our stockholders to effectively determine or substantially influence the outcome of matters requiring stockholder approval; and</w:t>
      </w:r>
    </w:p>
    <w:p>
      <w:pPr>
        <w:spacing w:after="0" w:line="14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decrease or suspend our quarterly dividend.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Human Capital and Management</w:t>
      </w:r>
    </w:p>
    <w:p>
      <w:pPr>
        <w:spacing w:after="0" w:line="146"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attracting, retaining or replacing qualified personnel.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Regulatory, Legal and Tax Challenges</w:t>
      </w:r>
    </w:p>
    <w:p>
      <w:pPr>
        <w:spacing w:after="0" w:line="159"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 effective system of internal controls;</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environmental, health and safety liabilities and expenditures; and</w:t>
      </w:r>
    </w:p>
    <w:p>
      <w:pPr>
        <w:spacing w:after="0" w:line="166"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and obligations in connection with the receipt of government awards and incentives.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Risk Factors</w:t>
      </w:r>
    </w:p>
    <w:p>
      <w:pPr>
        <w:spacing w:after="0" w:line="172"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and other calamities, health conditions or pandemics, political instability, hostilities or other disruptions.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 Operations and Industry</w:t>
      </w:r>
    </w:p>
    <w:p>
      <w:pPr>
        <w:spacing w:after="0" w:line="1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packaging and test services are used in volatile industries, and industry downturns and declines in global economic and financial conditions could harm our performance.</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markets in which we compete experience slower, or even negative growth, our business and results of operations may be materially and adversely affected.</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communications, computing, automotive and industrial or consumer electronics, could have a material adverse effect on our business and operating results. During downturns, we have experienced, among other things, reduced demand, excess capacity and reduced sales. For example, in recent years, the macroeconomic environment has experienced uncertainty related to evolving tariff and trade policies, geopolitical tensions, inflationary pressures, labor market shortages and disputes, changes in interest rates, supply chain disruptions, foreign currency fluctuations and periods of volatility in global capital markets.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strategy depends in part on sustained demand for advanced semiconductor packaging driven by AI, HPC and related data center applications. If the pace of AI infrastructure buildout slows, if demand for AI-related semiconductors contracts due to changes in technology, regulatory constraints on AI, shifts in customer spending priorities or otherwise or if we are unable to develop and scale the advanced packaging technologies required to serve AI and HPC applications, our results of operations could be materially and adversely affected. The current level of AI-driven demand for semiconductor packaging may not be sustained, and a reversal or significant slowdown in such demand could result in excess capacity, reduced utilization and downward pressure on average selling prices, any of which could have a material adverse effect on our business, liquidity, results of operations, financial condition and 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suffer if the cost, quality or supply of materials or equipment changes adversely.</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The costs of materials used in our packaging and test services have increased and may continue to increase, which could adversely impact our business, financial condition, results of operations and cash flows. A disruption to the operations of one or more of our suppliers could extend lead times for materials and equipment and have a negative impact on our business. For example, geopolitical events, including the ongoing conflicts in the Middle East and tensions between China and Taiwan, could disrupt global supply chains and adversely affect the availability and cost of materials and equipment, and furthermore, fire, severe weather, earthquakes, flooding and tsunamis in the past have impacted the supply of specialty chemicals, substrates, silicon wafers, equipment and other supplies to the electronics industry.</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including memory and silicon wafers. Shortages or disruptions in our customers’ supply channels, including any disruptions arising out of the conflicts in Ukraine and Israel and the Middle East or other future conflicts, could have a material adverse effect on our business, financial condition, results of operations and cash flows.</w:t>
      </w:r>
    </w:p>
    <w:p>
      <w:pPr>
        <w:spacing w:after="0" w:line="3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rely on raw materials, including steel and other construction materials, in connection with construction and expansion projects, such as our Arizona Facility. Any shortages or delays in procuring such construction materials can materially delay construction milestones, which could have a material adverse effect on our business, financial condition, results of operations and cash flows.</w:t>
      </w:r>
    </w:p>
    <w:p>
      <w:pPr>
        <w:spacing w:after="0" w:line="1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customers may move their business to other suppliers, and our reputation and business could be materially and adversely affected.</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depending on market conditions, we could experience adverse changes in pricing, currency risk and potential shortages in equipment, any of which could have a material adverse effect on our results of operations.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operating results and cash flows have varied and may vary significantly as a result of factors that we cannot control.</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99" w:lineRule="exact"/>
        <w:rPr>
          <w:sz w:val="20"/>
          <w:szCs w:val="20"/>
          <w:color w:val="auto"/>
        </w:rPr>
      </w:pPr>
    </w:p>
    <w:p>
      <w:pPr>
        <w:ind w:left="620" w:hanging="307"/>
        <w:spacing w:after="0" w:line="288"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demand for semiconductors and conditions in the semiconductor industry generally, as well as by specific customers, such as inventory reductions by our customers impacting demand in key markets;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cost, quality, availability and delivery times of raw materials, components, equipment and labor;</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 including wage inflation, and fluctuations in energy prices and commodity prices, including gold, silver, copper and other precious metals;</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major growth objectives, including transitioning second-wave customers to advanced packages and increasing our share of the automotive and industrial end market;</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capacity and capacity utilization rates;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 and currency exchange rates;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average selling prices which can occur quickly due to the absence of long-term agreements on price;</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mix of the semiconductor packaging and test services that we sell;</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manufacturing yields;</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620" w:hanging="307"/>
        <w:spacing w:after="0" w:line="270"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1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expenditures in anticipation of future orders;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effective tax rates;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financing;</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leverage and debt covenants;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intellectual property transactions and disputes;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warranty and product liability claims and the impact of quality excursions and customer disputes and returns;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legal claims, indemnification obligations, judgments and settlements;</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conflicts (such as the ongoing war between Russia and Ukraine, conflicts in the Middle East and tensions between China and Taiwan) and government shutdowns, civil disturbances and international events;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or natural disasters such as earthquakes, typhoons and volcanic eruptions;</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or other widespread illnesses that may impact our labor force, operations, liquidity, supply chain and end-user demand for products which incorporate semiconductors;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acquisitions and divestitures and difficulties integrating acquisitions;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qualified personnel to support our global operations;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penetrate new end markets or expand our business in existing end markets;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key customers or concentration of customers in certain end markets, such as mobile communications and automotive; and</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charges, asset write-offs and impairments.</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recent years, the U.S. Bureau of Industry and Security has announced export control regulations applicable to the sale of U.S. semiconductor technology in China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1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compete against established competitors in the packaging and test business as well as internal capabilities of IDMs and face competition from foundries and contract manufacturers.</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face competition from foundries,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also face competition from contract manufacturers and electronic manufacturing service providers, many of which are larger than us, have lower cost structures, and may be willing or able to sell their services at lower margins. These competitors have increased and could increase pricing and competitive pressures.</w:t>
      </w:r>
    </w:p>
    <w:p>
      <w:pPr>
        <w:spacing w:after="0" w:line="3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cannot assure you that we will be able to compete successfully in the future against our existing or potential competitors, that our customers will not rely on internal sources, foundries or contract manufacturers for packaging and test services or that our business, liquidity, results of operations, financial condition or cash flows will not be materially and adversely affected by such increased competition.</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began delivering advanced packages from the Vietnam Facility in the third quarter of 2024, and we began construction of our Arizona Facility in the second half of 2025. While manufacturing has begun at the Vietnam Facility and construction of our Arizona Facility is underway, there can be no assurance that the actual scope, costs or benefits of these projects will be consistent with our current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warranty claims, product return and liability risks, economic damage claims and negative publicity if our packages fail</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packages are incorporated into a number of end products. If our packages fail, our business may be exposed to warranty claims, product return and liability risks, economic damage claims and negative publicity.</w:t>
      </w:r>
    </w:p>
    <w:p>
      <w:pPr>
        <w:spacing w:after="0" w:line="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1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Due to our high percentage of fixed costs, we may be unable to maintain satisfactory gross margins if we are unable to achieve relatively high-capacity utilization rates.</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lack of contractually committed customer demand may materially and adversely affect our sales.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Historically, there has been downward pressure on the prices of our packaging and test services.</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reducing our manufacturing costs, our business, liquidity, results of operations, financial condition and cash flows could be materially and adversely affected.</w:t>
      </w:r>
    </w:p>
    <w:p>
      <w:pPr>
        <w:spacing w:after="0" w:line="16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spacing w:after="0" w:line="116"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contaminants in the manufacturing environment;</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human error;</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equipment malfunction;</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processes to address environmental requirements;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defective raw materials; or</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defective plating services.</w:t>
      </w:r>
    </w:p>
    <w:p>
      <w:pPr>
        <w:spacing w:after="0" w:line="1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9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revenue is derived from customers in the automotive industry. A downturn or lower sales to customers in the automotive industry could materially affect our business and results of operations.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significant portion of our sales is to customers within the automotive industry. The automotive industry is cyclical, and, as a result, our customers in the automotive end-market are sensitive to changes in general economic conditions, 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 significant operational challenges, risk to our results of operations, and increased costs of our investments in serving customers in the automotive end-market. Additionally, the quantity and price of our products sold to customers in the automotive end-market could decline despite continued growth in such end-market. Lower sales to customers in the automotive end-market may have a material adverse effect on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of certain customers or reduced orders or pricing from existing customers may have a material adverse effect on our operations and financial results.</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72% of our net sales for the year ended December 31, 2025. In addition, we have significant customer concentration within our end markets. The loss of a significant customer, 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difficulty funding liquidity needs.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Servicing our current and future customers requires that we incur significant operating expenses and continue to make significant capital expenditures and other investments, and the amount of our capital expenditures for 2026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2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challenges as we integrate diverse operations.</w:t>
      </w:r>
    </w:p>
    <w:p>
      <w:pPr>
        <w:spacing w:after="0" w:line="17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have experienced, and expect to continue to experience, change in the scope and complexity of our operations resulting primarily from existing and future facility and operational consolidations, facility and operational expansions,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acquisitions, joint ventures and other partnering arrangements. Some of the risks from these activities include those associated with the following:</w:t>
      </w:r>
    </w:p>
    <w:p>
      <w:pPr>
        <w:spacing w:after="0" w:line="166"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the scope, geographic diversity and complexity of our operations;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conforming an acquired company’s standards, practices, systems and controls with our operations;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complexity from combining recent acquisitions of an acquired business;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losses of key employees or customers of an acquired business;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the assimilation of acquired operations, technologies or products; and</w:t>
      </w:r>
    </w:p>
    <w:p>
      <w:pPr>
        <w:spacing w:after="0" w:line="166" w:lineRule="exact"/>
        <w:rPr>
          <w:rFonts w:ascii="Times New Roman" w:cs="Times New Roman" w:eastAsia="Times New Roman" w:hAnsi="Times New Roman"/>
          <w:sz w:val="17"/>
          <w:szCs w:val="17"/>
          <w:color w:val="auto"/>
        </w:rPr>
      </w:pPr>
    </w:p>
    <w:p>
      <w:pPr>
        <w:ind w:right="280" w:firstLine="313"/>
        <w:spacing w:after="0" w:line="444"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and other resources from other parts of our operations and adverse effects on existing business relationships with customers. In connection with these activities, we may:</w:t>
      </w: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costs associated with personnel reductions and voluntary retirement programs;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 restructuring charges to cover costs associated with facility consolidations and related cost reduction initiatives;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a significant portion of our available cash;</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substantial debt;</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equity securities, which may dilute the ownership of current stockholders;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assume known or unknown contingent liabilities; and</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large, immediate accounting write offs and face antitrust or other regulatory inquiries or actions.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International Sales and Operation</w:t>
      </w:r>
      <w:r>
        <w:rPr>
          <w:rFonts w:ascii="Times New Roman" w:cs="Times New Roman" w:eastAsia="Times New Roman" w:hAnsi="Times New Roman"/>
          <w:sz w:val="17"/>
          <w:szCs w:val="17"/>
          <w:b w:val="1"/>
          <w:bCs w:val="1"/>
          <w:color w:val="auto"/>
        </w:rPr>
        <w:t>s</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Our factories and operations, and those of our customers and vendors, are located in various foreign jurisdictions, which exposes us to risks arising from international trade restrictions and regional conflict.</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provide packaging and test services through our factories and other operations located in China, Japan, Korea, Malaysia, the Philippines, Portugal, Singapore, Taiwan and Vietnam. A significant portion of our property, plant and equipment is located outside of the United States, and many of our customers and the vendors in our supply chain are also located outside the United States. The following are some of the risks we face in doing business internationally:</w:t>
      </w:r>
    </w:p>
    <w:p>
      <w:pPr>
        <w:spacing w:after="0" w:line="116" w:lineRule="exact"/>
        <w:rPr>
          <w:sz w:val="20"/>
          <w:szCs w:val="20"/>
          <w:color w:val="auto"/>
        </w:rPr>
      </w:pPr>
    </w:p>
    <w:p>
      <w:pPr>
        <w:jc w:val="both"/>
        <w:ind w:left="62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spacing w:after="0" w:line="115"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trade disputes, geopolitical tensions, increasing protectionism and economic nationalism leading to increasing export restrictions, trade barriers, tariffs, and other changes in trade policy, or reactionary measures in response thereto, including retaliatory tariffs, legal challenges or currency manipulation;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and safety concerns, including widespread outbreak of infectious diseases and governmental responses thereto;</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demand resulting from current or expected inflation or other variations in local economies;</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rules, regulations and policies imposed by U.S. or foreign governments in areas such as data privacy, cybersecurity, antitrust and competition, tax, currency and banking, labor, environmental, and health and safety;</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dividends and other payments by non-U.S. subsidiaries may be subject to prohibitions, limitations or taxes in local jurisdictions;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particularly the U.S. dollar to Japanese yen exchange rate for our operations in Japan;</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social conditions, and the potential for civil unrest, terrorism or other hostilities (such as the ongoing war between Russia and Ukraine, conflicts in the Middle East, tensions between China and Taiwan and recent U.S. military action in Venezuela);</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or delays in shipments caused by customs brokers or government agencies;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attracting and retaining qualified personnel and managing foreign operations, including foreign labor disruptions;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enforcing contractual rights and protecting our intellectual property rights;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consequences resulting from tax laws in the United States and in other jurisdictions; and</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including retaliatory tariffs, legal challenges or currency manipulation, which have had and may continue to have an adverse effect on our business plans and operating results. Additionally, the BIS Regulations place limitations on the ability of companies to export certain advanced computing 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Amkor’s 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Over the course of 2025, the United States government announced multiple tariff changes for goods imported into the United States from numerous countries, as well as product-based sectoral tariffs. The U.S. government also announced various export control changes. Some countries countered with tariffs, export control changes or other actions, and the U.S. entered into broad trade negotiations with many countries. Many of the U.S. actions, as well as those of other countries, were subsequently paused or revised. These developments, or the perception that any of them could occur, may have a material adverse effect on global economic conditions and the stability of global financial markets, and may significantly reduce global trade. We cannot predict what further actions may ultimately be taken by the U.S. with respect to tariffs, export restrictions or other trade measures, what products or entities may be subject to such actions, or what actions may be taken by other countries in response to these U.S. actions. Any of these factors could depress economic activity, restrict our access to suppliers or customers and adversely affect the semiconductor supply chain. Imposed tariffs may affect end-user demand in each geography where our customers sell their products and services, which may materially and adversely affect demand for our services, our operating results and our financial condition.</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Global pandemics and the spread of infectious diseases may impact our operations and the operations of our customers and suppliers as a result of illness, quarantines, facility closures and travel and logistics restrictions in connection with such outbreaks. National, regional and local governments may implement public health measures to mitigate the spread of such outbreaks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our financial condition.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Cybersecurity, Data Privacy and Intellectual Property</w:t>
      </w:r>
    </w:p>
    <w:p>
      <w:pPr>
        <w:spacing w:after="0" w:line="1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United States.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competitors may develop, patent or gain access to know-how and technology similar or superior to our own.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16"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discontinue the use of certain processes or cease to provide the services at issue, which could curtail our business;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substantial damages;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non-infringing technologies, which may not be feasible; or</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licenses to such technology, which may not be available on commercially reasonable terms or at all.</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11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face risks in connection with the continuing development and implementation of changes to, and maintenance and security of, our information technology systems.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failures or vulnerabilities in the systems of third-parties (including those with access to our systems or data, such as customers or vendors), computer viruses, attacks by computer hackers, ransomware, phishing or other cybersecurity attacks, telecommunication failures, user errors, malfeasance or catastrophic events. Threat actors may utilize emerging technologies, such as AI and machine learning, to compromise our information technology systems. Such events have occurred in the past and may occur in the future. Cybersecurity breaches could result in unauthorized disclosure of confidential information, disruptions to our operations and/or impacts to a third party with which we have a relationship, such as a customer or vendor, which could result in reputational, competitive, operational or other business harms as well as financial costs and regulatory action. While we have not experienced a material information security breach, we cannot be sure that such a breach will not occur in the future. The information technology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information technology systems in our facilities in Japan into our existing systems and processes. We face risks in connection with current and future projects to install or integrate new information technology systems or upgrade our existing systems. These risks include, but are not limited to:</w:t>
      </w:r>
    </w:p>
    <w:p>
      <w:pPr>
        <w:spacing w:after="0" w:line="339"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the design and implementation of the system;</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may exceed our plans and expectations; and</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example, we are in the process of implementing a new enterprise resource planning (ERP) system. Large-scale technology implementations of this nature are inherently complex and involve significant investment in human and financial resources. Implementation of the new ERP system and related systems could result in significant potential risks, including failure of the systems to operate as designed, unexpected impacts on related systems or processes, potential loss or corruption of data, failures in security processes and internal controls, cost overruns, implementation delays or errors, disruption of operations and the potential inability to meet business and reporting requirements, any of which could materially and adversely affect our business, financial condition, results of operations and cash flows.</w:t>
      </w:r>
    </w:p>
    <w:p>
      <w:pPr>
        <w:spacing w:after="0" w:line="3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Indebtedness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Covenants in the indentures and agreements governing our current and future indebtedness could restrict our operating flexibility.</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substantial indebtedness could have a material adverse effect on our financial condition and prevent us from fulfilling our obligations.</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a substantial amount of debt, and the terms of the agreements governing our indebtedness allow us and our subsidiaries to incur more debt, subject to certain limitations. As of September 30, 2026, our total debt balance was $2,467.2 million, of which $149.5 million was classified as a current liability and $845.8 million was collateralized indebtedness.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substantial indebtedness could:</w:t>
      </w:r>
    </w:p>
    <w:p>
      <w:pPr>
        <w:spacing w:after="0" w:line="166" w:lineRule="exact"/>
        <w:rPr>
          <w:sz w:val="20"/>
          <w:szCs w:val="20"/>
          <w:color w:val="auto"/>
        </w:rPr>
      </w:pPr>
    </w:p>
    <w:p>
      <w:pPr>
        <w:ind w:left="620" w:hanging="307"/>
        <w:spacing w:after="0" w:line="288"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it more difficult for us to satisfy our obligations with respect to our indebtedness, including our obligations under our indentures to purchase notes tendered as a result of a change in control of Amkor;</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general adverse economic and industry conditions;</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ability to fund future working capital, capital expenditures, research and development and other business opportunities, including joint ventures and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620" w:hanging="307"/>
        <w:spacing w:after="0" w:line="27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1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volatility of the price of our common stock;</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dilute the interests of our existing stockholders as a result of issuing shares of our common stock upon conversion of our 2031 Notes;</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to react to changes in our business and the industry in which we operate;</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to any of our competitors that have less debt;</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along with the financial and other covenants in our indebtedness, our ability to borrow additional funds;</w:t>
      </w:r>
    </w:p>
    <w:p>
      <w:pPr>
        <w:spacing w:after="0" w:line="16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cost of borrowing.</w:t>
      </w:r>
    </w:p>
    <w:p>
      <w:pPr>
        <w:spacing w:after="0" w:line="16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interest rates increase, our debt service obligations under our variable rate indebtedness would increase, which could have a material adverse effect on our results of operations.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Borrowings under our credit facility, including the outstanding term loan, are at variable rates of interest and as a result expose us to interest rate risk. Interest rates increased throughout 2022 and 2023 before stabilizing and declining in 2024 and 2025. In September 2026, the Federal Reserve raised its interest rates, its first increase since 2023. As a result of this increase and the potential for further increases, our debt service obligations on the variable rate indebtedness would increase even though the amount borrowed remained the same, and our net income and cash flows, including cash available for servicing our indebtedness, will correspondingly decrease. We currently do not maintain interest rate swaps with respect to all of our variable rate indebtedness, and any swaps we enter into may not fully mitigate our interest rate risk. To the extent the risk materializes and is not fully mitigated, the resulting increase in interest expense could have a material adverse effect on our results of operations. Further, significant changes in our credit rating, disruptions in the global financial markets, including bank failures, or incurrence of new or refinancing of existing indebtedness at higher interest rates could have a material and adverse effect on our access to and cost of capital for future financings, and financial condition.</w:t>
      </w:r>
    </w:p>
    <w:p>
      <w:pPr>
        <w:spacing w:after="0" w:line="11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raise the funds necessary to repurchase the 2031 Notes for cash following a fundamental change or to pay any cash amounts due upon maturity or conversion of the 2031 Notes, and our other indebtedness limits our ability to repurchase the 2031 Notes or to pay any cash amounts due upon their maturity or conversion.</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Holders of our 2031 Notes have the right, subject to certain conditions and limited exceptions, to require us to repurchase their 2031 Notes following a “fundamental change” (as defined in the indenture for the 2031 Notes) at a cash repurchase price generally equal to the principal amount of the 2031 Notes to be repurchased, plus accrued and unpaid interest, if any. Upon maturity of the 2031 Notes, we must pay their principal amount and accrued and unpaid interest in cash, unless they have been previously repurchased, redeemed or converted. In addition, all conversions of 2031 Notes will be settled partially or entirely in cash. We may not have enough available cash or be able to obtain financing at the time we are required to repurchase the 2031 Notes or pay the cash amounts due upon their maturity or conversion. In addition, applicable law, regulatory authorities and the agreements governing our other indebtedness may restrict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repurchase the 2031 Notes or to pay the cash amounts due upon their maturity or conversion. Our failure to repurchase the 2031 Notes or to pay the cash amounts due upon their maturity or conversion when required will constitute a default under the indenture governing the 2031 Notes. A default under the indenture governing the 2031 Notes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2031 Notes.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Provisions in the indenture governing the 2031 Notes could delay or prevent an otherwise beneficial takeover of us.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Certain provisions in the 2031 Notes and the indenture governing the 2031 Notes could make a third party attempt to acquire us more difficult or expensive. For example, if a takeover constitutes a fundamental change, then, subject to certain exceptions, noteholders will have the right to require us to repurchase their 2031 Notes for cash. In addition, if a takeover constitutes a “make-whole fundamental change” (as defined in the indenture for the 2031 Notes), then we may be required to temporarily increase the conversion rate. In either case, and in other cases, our obligations under the 2031 Notes and the indenture governing the 2031 Notes could increase the cost of acquiring us or otherwise discourage a third party from acquiring us or removing incumbent management, including in a transaction that noteholders or holders of our common stock may view as favorable.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relating to our 2031 Notes may affect the value of our common stock.</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the right to elect to settle conversion of the 2031 Notes either entirely in cash or in combination of cash and shares of our common stock. Our election to convert the 2031 Notes into our common stock may further dilute the economic and voting rights of our existing stockholders and/or reduce the market price of our common stock. In addition, the market’s expectation that conversions may occur could depress the trading price of our common stock even in the absence of actual conversions. Moreover, the expectation of conversions could encourage the short selling of our common stock, which could place further downward pressure on the trading price of our common stock.</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issuance of the 2031 Notes, we entered into Capped Calls with certain financial institutions (collectively, the “option counterparties”). The Capped Calls are generally expected to reduce the potential dilution to our common stock upon any conversion of the 2031 Notes and/or offset any cash payments we are required to make in excess of the principal amount of converted 2031 Notes, as the case may be, with such reduction and/or offset subject to a cap.</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the option counterparties and/or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2031 Notes (and are likely to do so (x) during any observation period related to a conversion of the 2031 Notes or following any repurchase of the 2031 Notes by us in connection with any redemption or fundamental change, (y) following any repurchase of the 2031 Notes by us other than in connection with any redemption or fundamental change if we elect to unwind a corresponding portion of the Capped Calls in connection with such repurchase and (z) if we otherwise unwind all or a portion of the Capped Calls). This activity could cause or avoid an increase or a decrease in the market price of our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counterparty risk with respect to the Capped Calls.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option counterparties are financial institutions, and we will be subject to the risk that any or all of them might default under the Capped Calls. Our exposure to the credit risk of the option counterparties will not be secured by any collateral. Past and recent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Calls with such option counterparty. Our exposure will depend on many factors but, generally, an increase in our exposure will be correlated with an increase in the market price and in the volatility of our common stock. In addition, upon a default by an option counterparty, we may suffer adverse tax consequences and more dilution than we currently anticipate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our common stock. We can provide no assurances as to the financial stability or viability of the option counterparties.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accounting method for the 2031 Notes could adversely affect our reported financial condition and results.</w:t>
      </w:r>
    </w:p>
    <w:p>
      <w:pPr>
        <w:spacing w:after="0" w:line="17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accounting method for reflecting the 2031 Notes on our balance sheet and accruing interest expense for the 2031 Notes may adversely affect our reported loss and financial condition.</w:t>
      </w:r>
    </w:p>
    <w:p>
      <w:pPr>
        <w:spacing w:after="0" w:line="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accordance with applicable accounting standards, we expect that the 2031 Notes will be reflected as a liability on our balance sheets, with the initial carrying amount equal to the principal amount of the 2031 Notes, net of issuance costs. The issuance costs will be treated as a debt discount for accounting purposes, which will be amortized into interest expense over the term of the 2031 Notes. As a result of this amortization, the interest expense that we expect to recognize for the 2031 Notes for accounting purposes will be greater than the cash special interest or additional interest payments, if any, we will pay on the 2031 Notes, which will result in lower reported income.</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Furthermore, if any of the conditions to the convertibility of the 2031 Notes is satisfied, then we may be required under applicable accounting standards to reclassify the liability carrying value of the 2031 Notes as a current, rather than a long-term, liability. This reclassification, and the requirement that the principal amount of the 2031 Notes upon conversion must be paid in cash could adversely affect our liquidity.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Susan Y. Kim and members of her family can effectively determine or substantially influence the outcome of all matters requiring stockholder approval.</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As of September 30, 2026, Susan Y. Kim, the Chairman of our Board of Directors, and members of the Kim family and affiliates owned approximately 122.6 million shares, or approximately 49.5%, of our outstanding common stock. The Kim family also has options to acquire approximately 0.1 million shares. If the options are exercised, the Kim family’s total ownership would be an aggregate of approximately 122.7 million shares, or approximately 49.5% of our outstanding common stock.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June 2013, the Kim family exchanged convertible notes issued by Amkor in 2009 for approximately 49.6 million shares of common stock (the “Convert Shares”). As of September 30, 2026, the Kim family owns approximately 29.6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Ms. Kim and her family and affiliates, acting together, have the ability to effectively determine or substantially influence matters submitted for approval by our stockholders including the election of our Board of Directors, by voting their shares or otherwise acting by written consent.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decrease or suspend our quarterly dividend, and any decrease in or suspension of the dividend could cause our stock price to decline.</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Human Capital and Management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risks trying to attract, retain or replace qualified employees to support our operations.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Regulatory, Legal and Tax Challenges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controls, we may not be able to accurately report financial results or prevent fraud.</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internal controls over financial reporting may not prevent or detect misstatements because of their inherent limitations, including the possibility of human error, the circumvention or overriding of controls and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we operate in have enacted laws based on the Pillar Two Model Rules, which has adversely affected our effective tax rate, expected tax payments and conditional reduced tax rates.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OECD’s 2026 introduction of the Side-by-Side (“SbS”) framework may impact our future tax obligations and compliance requirements. Although the United States has been designated as a qualified SbS jurisdiction, enabling U.S.-parented companies to elect relief from certain provisions of the Pillar Two Model Rules beginning in 2026, many jurisdictions continue to require QDMTT and may adopt additional administrative rules that affect our operations. There remains significant uncertainty regarding the pace and consistency of global implementation. Our ability to accurately forecast tax obligations and the impact on our financial results may be affected.</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July 4, 2025, the OBBBA was enacted in the United States, which includes significant provisions such as modifications to the international tax framework and the investment tax credit rate under the CHIPS Act, and restoration of tax treatment for certain business provisions. The legislation has multiple effective dates, with certain provisions effective in 2025 and others implemented through 2027. Changes in U.S. or foreign tax laws, including new or modified guidance with respect to existing tax laws, could have a material adverse impact on our liquidity, results of operations, financial condition and cash flows.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w:t>
      </w:r>
    </w:p>
    <w:p>
      <w:pPr>
        <w:spacing w:after="0" w:line="3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Environmental, health and safety liabilities and expenditures could have a material adverse effect on our business, results of operation and financial condition.</w:t>
      </w:r>
    </w:p>
    <w:p>
      <w:pPr>
        <w:spacing w:after="0" w:line="3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 or other chemicals, the existence of hazardous materials on our properties or the existence of hazardous substances in the products for which we perform our services. We could also be held liable for damages, including fines, penalties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The awards and incentives from the agreement with the Commerce Department pursuant to the CHIPS Act might not materialize as such awards and incentives are conditional upon achieving or maintaining certain outcomes and compliance with other obligations, are subject to reduction, termination, or clawback and would impose certain restrictions on our business.</w:t>
      </w:r>
    </w:p>
    <w:p>
      <w:pPr>
        <w:spacing w:after="0" w:line="1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December 2024, the Commerce Department awarded us up to $407 million in direct funding pursuant to the CHIPS Act for the Arizona Facility. This award requires us to achieve construction and production milestones and restricts us from undertaking certain activities. Our progress toward these milestones may be delayed by factors outside of our control, including shortages of or delays in obtaining materials, equipment and skilled labor, permitting or regulatory delays, severe weather, natural disasters and other events affecting the construction or operation of the Arizona Facility. We cannot guarantee that we will successfully achieve and maintain outcomes or be able to comply with other obligations required to qualify for this award or that the Commerce Department will provide or continue to provide such funding. The award arrangements provide the Commerce Department with rights to audit our compliance with their terms and obligations, and such audits could result in modifications to, or termination of, the award. To a lesser extent, we also receive incentives from state and local governments for the Arizona Facility, which have similar terms and conditions. Any awards or incentives we receive could be subject to reduction, termination, or clawback, and any decrease, termination, or clawback of such government awards and incentives could have a material adverse effect on our business, results of operations or financial condition.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Risk Factors</w:t>
      </w:r>
    </w:p>
    <w:p>
      <w:pPr>
        <w:spacing w:after="0" w:line="1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significant packaging and test services and other operations in China, Japan, Korea, Malaysia, the Philippines, Portugal, Singapore, Taiwan and Vietnam, and the Arizona Facility is a new factory under construction in the United States. Such operations are or could be subject to: natural disasters, such as earthquakes, tsunamis, typhoons, floods, droughts, extreme heat, volcanoes, heavy winds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including electricity and water; political events or instability; sanctions imposed by the U.S. and other countries in connection with geopolitical tensions; changes in trade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including the imposition of tariffs, export controls or other trade barriers; acts of war or armed conflict (such as ongoing war between Russia and Ukraine, conflicts in the Middle East, tensions between China and Taiwan and recent U.S. military action in Venezuela); terrorist incidents and other hostilities in regions where we have facilities; and industrial accidents and other events, that could disrupt or even shut down our operations. While our global manufacturing footprint may allow us to shift production to other factories without substantial cost or production delays, certain of our services are currently performed using equipment located in one or only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2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Repurchase of Equity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repurchases of our common stock during the three months ended September 30, 2026.</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20" w:type="dxa"/>
            <w:vAlign w:val="bottom"/>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520" w:type="dxa"/>
            <w:vAlign w:val="bottom"/>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7"/>
              </w:rPr>
              <w:t>Average Price Paid</w:t>
            </w: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2620" w:type="dxa"/>
            <w:vAlign w:val="bottom"/>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6"/>
              </w:rPr>
              <w:t>Purchased (a)</w:t>
            </w:r>
          </w:p>
        </w:tc>
        <w:tc>
          <w:tcPr>
            <w:tcW w:w="1520" w:type="dxa"/>
            <w:vAlign w:val="bottom"/>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8"/>
              </w:rPr>
              <w:t>Per Share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90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7"/>
              </w:rPr>
              <w:t>Approximate Dollar Value of</w:t>
            </w:r>
          </w:p>
        </w:tc>
      </w:tr>
      <w:tr>
        <w:trPr>
          <w:trHeight w:val="141"/>
        </w:trPr>
        <w:tc>
          <w:tcPr>
            <w:tcW w:w="1960" w:type="dxa"/>
            <w:vAlign w:val="bottom"/>
          </w:tcPr>
          <w:p>
            <w:pPr>
              <w:jc w:val="center"/>
              <w:ind w:right="71"/>
              <w:spacing w:after="0" w:line="141" w:lineRule="exact"/>
              <w:rPr>
                <w:sz w:val="20"/>
                <w:szCs w:val="20"/>
                <w:color w:val="auto"/>
              </w:rPr>
            </w:pPr>
            <w:r>
              <w:rPr>
                <w:rFonts w:ascii="Times New Roman" w:cs="Times New Roman" w:eastAsia="Times New Roman" w:hAnsi="Times New Roman"/>
                <w:sz w:val="14"/>
                <w:szCs w:val="14"/>
                <w:b w:val="1"/>
                <w:bCs w:val="1"/>
                <w:color w:val="auto"/>
                <w:w w:val="98"/>
              </w:rPr>
              <w:t>Purchased as Part of Publicly</w:t>
            </w:r>
          </w:p>
        </w:tc>
        <w:tc>
          <w:tcPr>
            <w:tcW w:w="1900" w:type="dxa"/>
            <w:vAlign w:val="bottom"/>
          </w:tcPr>
          <w:p>
            <w:pPr>
              <w:jc w:val="center"/>
              <w:ind w:left="51"/>
              <w:spacing w:after="0" w:line="141" w:lineRule="exact"/>
              <w:rPr>
                <w:sz w:val="20"/>
                <w:szCs w:val="20"/>
                <w:color w:val="auto"/>
              </w:rPr>
            </w:pPr>
            <w:r>
              <w:rPr>
                <w:rFonts w:ascii="Times New Roman" w:cs="Times New Roman" w:eastAsia="Times New Roman" w:hAnsi="Times New Roman"/>
                <w:sz w:val="14"/>
                <w:szCs w:val="14"/>
                <w:b w:val="1"/>
                <w:bCs w:val="1"/>
                <w:color w:val="auto"/>
                <w:w w:val="96"/>
              </w:rPr>
              <w:t>Shares that May Yet Be</w:t>
            </w:r>
          </w:p>
        </w:tc>
      </w:tr>
      <w:tr>
        <w:trPr>
          <w:trHeight w:val="131"/>
        </w:trPr>
        <w:tc>
          <w:tcPr>
            <w:tcW w:w="1960" w:type="dxa"/>
            <w:vAlign w:val="bottom"/>
          </w:tcPr>
          <w:p>
            <w:pPr>
              <w:jc w:val="center"/>
              <w:ind w:right="71"/>
              <w:spacing w:after="0" w:line="131" w:lineRule="exact"/>
              <w:rPr>
                <w:sz w:val="20"/>
                <w:szCs w:val="20"/>
                <w:color w:val="auto"/>
              </w:rPr>
            </w:pPr>
            <w:r>
              <w:rPr>
                <w:rFonts w:ascii="Times New Roman" w:cs="Times New Roman" w:eastAsia="Times New Roman" w:hAnsi="Times New Roman"/>
                <w:sz w:val="14"/>
                <w:szCs w:val="14"/>
                <w:b w:val="1"/>
                <w:bCs w:val="1"/>
                <w:color w:val="auto"/>
                <w:w w:val="98"/>
              </w:rPr>
              <w:t>Announced Plans or Programs</w:t>
            </w:r>
          </w:p>
        </w:tc>
        <w:tc>
          <w:tcPr>
            <w:tcW w:w="1900" w:type="dxa"/>
            <w:vAlign w:val="bottom"/>
          </w:tcPr>
          <w:p>
            <w:pPr>
              <w:jc w:val="center"/>
              <w:ind w:left="51"/>
              <w:spacing w:after="0" w:line="131" w:lineRule="exact"/>
              <w:rPr>
                <w:sz w:val="20"/>
                <w:szCs w:val="20"/>
                <w:color w:val="auto"/>
              </w:rPr>
            </w:pPr>
            <w:r>
              <w:rPr>
                <w:rFonts w:ascii="Times New Roman" w:cs="Times New Roman" w:eastAsia="Times New Roman" w:hAnsi="Times New Roman"/>
                <w:sz w:val="14"/>
                <w:szCs w:val="14"/>
                <w:b w:val="1"/>
                <w:bCs w:val="1"/>
                <w:color w:val="auto"/>
                <w:w w:val="99"/>
              </w:rPr>
              <w:t>Purchased Under the Plans or</w:t>
            </w:r>
          </w:p>
        </w:tc>
      </w:tr>
      <w:tr>
        <w:trPr>
          <w:trHeight w:val="183"/>
        </w:trPr>
        <w:tc>
          <w:tcPr>
            <w:tcW w:w="196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(b)</w:t>
            </w:r>
          </w:p>
        </w:tc>
        <w:tc>
          <w:tcPr>
            <w:tcW w:w="190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8"/>
              </w:rPr>
              <w:t>Programs ($) (b)</w:t>
            </w:r>
          </w:p>
        </w:tc>
      </w:tr>
    </w:tbl>
    <w:p>
      <w:pPr>
        <w:spacing w:after="0" w:line="13" w:lineRule="exact"/>
        <w:rPr>
          <w:sz w:val="20"/>
          <w:szCs w:val="20"/>
          <w:color w:val="auto"/>
        </w:rPr>
      </w:pPr>
    </w:p>
    <w:p>
      <w:pPr>
        <w:sectPr>
          <w:pgSz w:w="11900" w:h="16838" w:orient="portrait"/>
          <w:cols w:equalWidth="0" w:num="2">
            <w:col w:w="6680" w:space="580"/>
            <w:col w:w="3980"/>
          </w:cols>
          <w:pgMar w:left="320" w:top="119" w:right="339" w:bottom="1440" w:gutter="0" w:footer="0" w:header="0"/>
          <w:type w:val="continuous"/>
        </w:sectPr>
      </w:pPr>
    </w:p>
    <w:tbl>
      <w:tblPr>
        <w:tblLayout w:type="fixed"/>
        <w:tblInd w:w="40" w:type="dxa"/>
        <w:tblCellMar>
          <w:top w:w="0" w:type="dxa"/>
          <w:left w:w="0" w:type="dxa"/>
          <w:bottom w:w="0" w:type="dxa"/>
          <w:right w:w="0" w:type="dxa"/>
        </w:tblCellMar>
      </w:tblPr>
      <w:tr>
        <w:trPr>
          <w:trHeight w:val="235"/>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 July 31</w:t>
            </w:r>
          </w:p>
        </w:tc>
        <w:tc>
          <w:tcPr>
            <w:tcW w:w="120" w:type="dxa"/>
            <w:vAlign w:val="bottom"/>
            <w:tcBorders>
              <w:top w:val="single" w:sz="8" w:color="CCEEFF"/>
            </w:tcBorders>
            <w:shd w:val="clear" w:color="auto" w:fill="CCEEFF"/>
          </w:tcPr>
          <w:p>
            <w:pPr>
              <w:spacing w:after="0"/>
              <w:rPr>
                <w:sz w:val="20"/>
                <w:szCs w:val="20"/>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165,455</w:t>
            </w: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46.72</w:t>
            </w:r>
          </w:p>
        </w:tc>
        <w:tc>
          <w:tcPr>
            <w:tcW w:w="100" w:type="dxa"/>
            <w:vAlign w:val="bottom"/>
            <w:tcBorders>
              <w:top w:val="single" w:sz="8" w:color="CCEEFF"/>
            </w:tcBorders>
            <w:shd w:val="clear" w:color="auto" w:fill="CCEEFF"/>
          </w:tcPr>
          <w:p>
            <w:pPr>
              <w:spacing w:after="0"/>
              <w:rPr>
                <w:sz w:val="20"/>
                <w:szCs w:val="20"/>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165,373</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292,276,367</w:t>
            </w:r>
          </w:p>
        </w:tc>
      </w:tr>
      <w:tr>
        <w:trPr>
          <w:trHeight w:val="23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 August 31</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451,406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48.37</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448,922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270,578,063</w:t>
            </w:r>
          </w:p>
        </w:tc>
      </w:tr>
      <w:tr>
        <w:trPr>
          <w:trHeight w:val="233"/>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 September 30</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63,243</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45.94</w:t>
            </w:r>
          </w:p>
        </w:tc>
        <w:tc>
          <w:tcPr>
            <w:tcW w:w="100" w:type="dxa"/>
            <w:vAlign w:val="bottom"/>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63,243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267,672,493</w:t>
            </w:r>
          </w:p>
        </w:tc>
      </w:tr>
      <w:tr>
        <w:trPr>
          <w:trHeight w:val="2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680,104</w:t>
            </w:r>
          </w:p>
        </w:tc>
        <w:tc>
          <w:tcPr>
            <w:tcW w:w="900" w:type="dxa"/>
            <w:vAlign w:val="bottom"/>
            <w:gridSpan w:val="2"/>
          </w:tcPr>
          <w:p>
            <w:pPr>
              <w:jc w:val="right"/>
              <w:ind w:right="6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47.74</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677,538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39" w:lineRule="exact"/>
        <w:rPr>
          <w:sz w:val="20"/>
          <w:szCs w:val="20"/>
          <w:color w:val="auto"/>
        </w:rPr>
      </w:pPr>
    </w:p>
    <w:p>
      <w:pPr>
        <w:ind w:left="620" w:hanging="307"/>
        <w:spacing w:after="0" w:line="288" w:lineRule="auto"/>
        <w:tabs>
          <w:tab w:leader="none" w:pos="61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common stock surrendered to us to satisfy tax withholding obligations associated with the shares issued to employees in connection with share-based compensation.</w:t>
      </w:r>
    </w:p>
    <w:p>
      <w:pPr>
        <w:spacing w:after="0" w:line="99" w:lineRule="exact"/>
        <w:rPr>
          <w:rFonts w:ascii="Times New Roman" w:cs="Times New Roman" w:eastAsia="Times New Roman" w:hAnsi="Times New Roman"/>
          <w:sz w:val="17"/>
          <w:szCs w:val="17"/>
          <w:color w:val="auto"/>
        </w:rPr>
      </w:pPr>
    </w:p>
    <w:p>
      <w:pPr>
        <w:jc w:val="both"/>
        <w:ind w:left="620" w:hanging="307"/>
        <w:spacing w:after="0" w:line="262" w:lineRule="auto"/>
        <w:tabs>
          <w:tab w:leader="none" w:pos="6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23, 2026, our Board of Directors authorized the repurchase of up to $300.0 million of our common stock, exclusive of any fees, commissions or other expenses, under the Stock Repurchase Program. During the three months ended September 30, 2026, we purchased 0.7 million shares of common stock for an aggregate purchase price of $32.3 million for an average price of $47.71. At September 30, 2026, $267.7 million was available for repurchase. Repurchases of our common stock under the Stock Repurchase Program are funded with available cash, and the Stock Repurchase Program may be suspended or discontinued at any time.</w:t>
      </w:r>
    </w:p>
    <w:p>
      <w:pPr>
        <w:spacing w:after="0" w:line="200" w:lineRule="exact"/>
        <w:rPr>
          <w:sz w:val="20"/>
          <w:szCs w:val="20"/>
          <w:color w:val="auto"/>
        </w:rPr>
      </w:pPr>
    </w:p>
    <w:p>
      <w:pPr>
        <w:spacing w:after="0" w:line="3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9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9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August 6, 2026, Kevin K. Engel, Amkor’s President and Chief Executive Officer adopted a “Rule 10b5-1 trading arrangement” as such term is defined in paragraph (a) of Item 408 of Regulation S-K promulgated under the Securities Act, which is intended to satisfy the affirmative defense of Rule 10b5-1(c). Mr. Engel’s Rule 10b5-1 trading arrangement will terminate on the earliest of: (a) May 5, 2027; (b) the first date on which all trades have been executed or all trading orders relating to such trades have expired; and (c) the date on which Mr. Engel gives notice to terminate his Rule 10b5-1 trading arrangement. 6,000 shares of our common stock are to be sold under Mr. Engel’s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5720" w:type="dxa"/>
            <w:vAlign w:val="bottom"/>
            <w:gridSpan w:val="10"/>
          </w:tcPr>
          <w:p>
            <w:pPr>
              <w:ind w:left="280"/>
              <w:spacing w:after="0"/>
              <w:rPr>
                <w:sz w:val="20"/>
                <w:szCs w:val="20"/>
                <w:color w:val="auto"/>
              </w:rPr>
            </w:pPr>
            <w:r>
              <w:rPr>
                <w:rFonts w:ascii="Times New Roman" w:cs="Times New Roman" w:eastAsia="Times New Roman" w:hAnsi="Times New Roman"/>
                <w:sz w:val="17"/>
                <w:szCs w:val="17"/>
                <w:b w:val="1"/>
                <w:bCs w:val="1"/>
                <w:i w:val="1"/>
                <w:iCs w:val="1"/>
                <w:color w:val="auto"/>
              </w:rPr>
              <w:t>Exhibits</w:t>
            </w: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60" w:type="dxa"/>
            <w:vAlign w:val="bottom"/>
          </w:tcPr>
          <w:p>
            <w:pPr>
              <w:jc w:val="center"/>
              <w:ind w:left="1018"/>
              <w:spacing w:after="0"/>
              <w:rPr>
                <w:sz w:val="20"/>
                <w:szCs w:val="20"/>
                <w:color w:val="auto"/>
              </w:rPr>
            </w:pPr>
            <w:r>
              <w:rPr>
                <w:rFonts w:ascii="Times New Roman" w:cs="Times New Roman" w:eastAsia="Times New Roman" w:hAnsi="Times New Roman"/>
                <w:sz w:val="14"/>
                <w:szCs w:val="14"/>
                <w:b w:val="1"/>
                <w:bCs w:val="1"/>
                <w:color w:val="auto"/>
                <w:w w:val="98"/>
              </w:rPr>
              <w:t>Included</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vMerge w:val="continue"/>
          </w:tcPr>
          <w:p>
            <w:pPr>
              <w:spacing w:after="0"/>
              <w:rPr>
                <w:sz w:val="16"/>
                <w:szCs w:val="16"/>
                <w:color w:val="auto"/>
              </w:rPr>
            </w:pPr>
          </w:p>
        </w:tc>
        <w:tc>
          <w:tcPr>
            <w:tcW w:w="2060" w:type="dxa"/>
            <w:vAlign w:val="bottom"/>
            <w:tcBorders>
              <w:bottom w:val="single" w:sz="8" w:color="auto"/>
            </w:tcBorders>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184"/>
        </w:trPr>
        <w:tc>
          <w:tcPr>
            <w:tcW w:w="114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5160" w:type="dxa"/>
            <w:vAlign w:val="bottom"/>
            <w:gridSpan w:val="9"/>
          </w:tcPr>
          <w:p>
            <w:pPr>
              <w:ind w:left="19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9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31.1</w:t>
            </w:r>
          </w:p>
        </w:tc>
        <w:tc>
          <w:tcPr>
            <w:tcW w:w="51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Kevin K. Engel, Chief Executive Officer of Amkor</w:t>
            </w: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01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60" w:type="dxa"/>
            <w:vAlign w:val="bottom"/>
            <w:tcBorders>
              <w:top w:val="single" w:sz="8" w:color="0000FF"/>
              <w:bottom w:val="single" w:sz="8" w:color="0000FF"/>
            </w:tcBorders>
            <w:gridSpan w:val="4"/>
          </w:tcPr>
          <w:p>
            <w:pPr>
              <w:spacing w:after="0" w:line="148" w:lineRule="exact"/>
              <w:rPr>
                <w:sz w:val="20"/>
                <w:szCs w:val="20"/>
                <w:color w:val="auto"/>
              </w:rPr>
            </w:pPr>
            <w:r>
              <w:rPr>
                <w:rFonts w:ascii="Times New Roman" w:cs="Times New Roman" w:eastAsia="Times New Roman" w:hAnsi="Times New Roman"/>
                <w:sz w:val="17"/>
                <w:szCs w:val="17"/>
                <w:color w:val="0000FF"/>
              </w:rPr>
              <w:t>Technology,  Inc.,  pursuant  to  Rule  13a-14(a)  under  the  Securities</w:t>
            </w: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60" w:type="dxa"/>
            <w:vAlign w:val="bottom"/>
            <w:tcBorders>
              <w:bottom w:val="single" w:sz="8" w:color="0000FF"/>
            </w:tcBorders>
            <w:gridSpan w:val="2"/>
          </w:tcPr>
          <w:p>
            <w:pPr>
              <w:spacing w:after="0" w:line="161" w:lineRule="exact"/>
              <w:rPr>
                <w:sz w:val="20"/>
                <w:szCs w:val="20"/>
                <w:color w:val="auto"/>
              </w:rPr>
            </w:pPr>
            <w:r>
              <w:rPr>
                <w:rFonts w:ascii="Times New Roman" w:cs="Times New Roman" w:eastAsia="Times New Roman" w:hAnsi="Times New Roman"/>
                <w:sz w:val="17"/>
                <w:szCs w:val="17"/>
                <w:color w:val="0000FF"/>
              </w:rPr>
              <w:t>Exchange Act of 1934, as amended</w:t>
            </w:r>
          </w:p>
        </w:tc>
        <w:tc>
          <w:tcPr>
            <w:tcW w:w="26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31.2</w:t>
            </w:r>
          </w:p>
        </w:tc>
        <w:tc>
          <w:tcPr>
            <w:tcW w:w="51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Megan  Faust,  Chief  Financial  Officer  of  Amkor</w:t>
            </w: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01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80" w:type="dxa"/>
            <w:vAlign w:val="bottom"/>
            <w:tcBorders>
              <w:top w:val="single" w:sz="8" w:color="0000FF"/>
            </w:tcBorders>
            <w:gridSpan w:val="5"/>
          </w:tcPr>
          <w:p>
            <w:pPr>
              <w:spacing w:after="0" w:line="148" w:lineRule="exact"/>
              <w:rPr>
                <w:sz w:val="20"/>
                <w:szCs w:val="20"/>
                <w:color w:val="auto"/>
              </w:rPr>
            </w:pPr>
            <w:r>
              <w:rPr>
                <w:rFonts w:ascii="Times New Roman" w:cs="Times New Roman" w:eastAsia="Times New Roman" w:hAnsi="Times New Roman"/>
                <w:sz w:val="17"/>
                <w:szCs w:val="17"/>
                <w:color w:val="0000FF"/>
              </w:rPr>
              <w:t>Technology,  Inc.,  pursuant  to  Rule  13a-14(a)  under  the  Securities</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40" w:type="dxa"/>
            <w:vAlign w:val="bottom"/>
            <w:tcBorders>
              <w:top w:val="single" w:sz="8" w:color="0000FF"/>
              <w:bottom w:val="single" w:sz="8" w:color="0000FF"/>
            </w:tcBorders>
          </w:tcPr>
          <w:p>
            <w:pPr>
              <w:spacing w:after="0" w:line="161" w:lineRule="exact"/>
              <w:rPr>
                <w:sz w:val="20"/>
                <w:szCs w:val="20"/>
                <w:color w:val="auto"/>
              </w:rPr>
            </w:pPr>
            <w:r>
              <w:rPr>
                <w:rFonts w:ascii="Times New Roman" w:cs="Times New Roman" w:eastAsia="Times New Roman" w:hAnsi="Times New Roman"/>
                <w:sz w:val="17"/>
                <w:szCs w:val="17"/>
                <w:color w:val="0000FF"/>
              </w:rPr>
              <w:t>Exchange Act of 1934, as amended</w:t>
            </w:r>
          </w:p>
        </w:tc>
        <w:tc>
          <w:tcPr>
            <w:tcW w:w="26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32</w:t>
            </w:r>
          </w:p>
        </w:tc>
        <w:tc>
          <w:tcPr>
            <w:tcW w:w="51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and Chief Financial Officer</w:t>
            </w: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01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100" w:type="dxa"/>
            <w:vAlign w:val="bottom"/>
            <w:tcBorders>
              <w:top w:val="single" w:sz="8" w:color="0000FF"/>
              <w:bottom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rPr>
              <w:t>pursuant to 18 U.S.C. Section 1350, as Adopted Pursuant to Section 906</w:t>
            </w: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40" w:type="dxa"/>
            <w:vAlign w:val="bottom"/>
            <w:gridSpan w:val="8"/>
          </w:tcPr>
          <w:p>
            <w:pPr>
              <w:spacing w:after="0" w:line="161" w:lineRule="exact"/>
              <w:rPr>
                <w:sz w:val="20"/>
                <w:szCs w:val="20"/>
                <w:color w:val="auto"/>
              </w:rPr>
            </w:pPr>
            <w:r>
              <w:rPr>
                <w:rFonts w:ascii="Times New Roman" w:cs="Times New Roman" w:eastAsia="Times New Roman" w:hAnsi="Times New Roman"/>
                <w:sz w:val="17"/>
                <w:szCs w:val="17"/>
                <w:color w:val="0000FF"/>
              </w:rPr>
              <w:t>of the Sarbanes-Oxley Act of 2002*</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101.INS</w:t>
            </w:r>
          </w:p>
        </w:tc>
        <w:tc>
          <w:tcPr>
            <w:tcW w:w="51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01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60" w:type="dxa"/>
            <w:vAlign w:val="bottom"/>
            <w:gridSpan w:val="9"/>
          </w:tcPr>
          <w:p>
            <w:pPr>
              <w:spacing w:after="0" w:line="177" w:lineRule="exact"/>
              <w:rPr>
                <w:sz w:val="20"/>
                <w:szCs w:val="20"/>
                <w:color w:val="auto"/>
              </w:rPr>
            </w:pPr>
            <w:r>
              <w:rPr>
                <w:rFonts w:ascii="Times New Roman" w:cs="Times New Roman" w:eastAsia="Times New Roman" w:hAnsi="Times New Roman"/>
                <w:sz w:val="17"/>
                <w:szCs w:val="17"/>
                <w:color w:val="auto"/>
              </w:rPr>
              <w:t>appear in the Interactive Data File because its XBRL tags are embedded</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1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101.SCH</w:t>
            </w:r>
          </w:p>
        </w:tc>
        <w:tc>
          <w:tcPr>
            <w:tcW w:w="51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60" w:type="dxa"/>
            <w:vAlign w:val="bottom"/>
          </w:tcPr>
          <w:p>
            <w:pPr>
              <w:jc w:val="center"/>
              <w:ind w:left="101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33"/>
        </w:trPr>
        <w:tc>
          <w:tcPr>
            <w:tcW w:w="11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101.CAL</w:t>
            </w:r>
          </w:p>
        </w:tc>
        <w:tc>
          <w:tcPr>
            <w:tcW w:w="51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60" w:type="dxa"/>
            <w:vAlign w:val="bottom"/>
          </w:tcPr>
          <w:p>
            <w:pPr>
              <w:jc w:val="center"/>
              <w:ind w:left="101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33"/>
        </w:trPr>
        <w:tc>
          <w:tcPr>
            <w:tcW w:w="11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101.LAB</w:t>
            </w:r>
          </w:p>
        </w:tc>
        <w:tc>
          <w:tcPr>
            <w:tcW w:w="51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60" w:type="dxa"/>
            <w:vAlign w:val="bottom"/>
          </w:tcPr>
          <w:p>
            <w:pPr>
              <w:jc w:val="center"/>
              <w:ind w:left="101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33"/>
        </w:trPr>
        <w:tc>
          <w:tcPr>
            <w:tcW w:w="11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101.PRE</w:t>
            </w:r>
          </w:p>
        </w:tc>
        <w:tc>
          <w:tcPr>
            <w:tcW w:w="51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60" w:type="dxa"/>
            <w:vAlign w:val="bottom"/>
          </w:tcPr>
          <w:p>
            <w:pPr>
              <w:jc w:val="center"/>
              <w:ind w:left="101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33"/>
        </w:trPr>
        <w:tc>
          <w:tcPr>
            <w:tcW w:w="11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101.DEF</w:t>
            </w:r>
          </w:p>
        </w:tc>
        <w:tc>
          <w:tcPr>
            <w:tcW w:w="51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60" w:type="dxa"/>
            <w:vAlign w:val="bottom"/>
          </w:tcPr>
          <w:p>
            <w:pPr>
              <w:jc w:val="center"/>
              <w:ind w:left="101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60" w:type="dxa"/>
            <w:vAlign w:val="bottom"/>
          </w:tcPr>
          <w:p>
            <w:pPr>
              <w:jc w:val="right"/>
              <w:ind w:right="54"/>
              <w:spacing w:after="0" w:line="181" w:lineRule="exact"/>
              <w:rPr>
                <w:sz w:val="20"/>
                <w:szCs w:val="20"/>
                <w:color w:val="auto"/>
              </w:rPr>
            </w:pPr>
            <w:r>
              <w:rPr>
                <w:rFonts w:ascii="Times New Roman" w:cs="Times New Roman" w:eastAsia="Times New Roman" w:hAnsi="Times New Roman"/>
                <w:sz w:val="17"/>
                <w:szCs w:val="17"/>
                <w:color w:val="auto"/>
              </w:rPr>
              <w:t>104</w:t>
            </w:r>
          </w:p>
        </w:tc>
        <w:tc>
          <w:tcPr>
            <w:tcW w:w="516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auto"/>
              </w:rPr>
              <w:t>Cover Page Interactive Data File (formatted as Inline XBRL and</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60" w:type="dxa"/>
            <w:vAlign w:val="bottom"/>
          </w:tcPr>
          <w:p>
            <w:pPr>
              <w:jc w:val="center"/>
              <w:ind w:left="1018"/>
              <w:spacing w:after="0" w:line="181" w:lineRule="exact"/>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contained in Exhibit 101)</w:t>
            </w: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AMKOR TECHNOLOGY, INC.</w:t>
      </w:r>
    </w:p>
    <w:p>
      <w:pPr>
        <w:spacing w:after="0" w:line="200" w:lineRule="exact"/>
        <w:rPr>
          <w:sz w:val="20"/>
          <w:szCs w:val="20"/>
          <w:color w:val="auto"/>
        </w:rPr>
      </w:pPr>
    </w:p>
    <w:p>
      <w:pPr>
        <w:spacing w:after="0" w:line="212" w:lineRule="exact"/>
        <w:rPr>
          <w:sz w:val="20"/>
          <w:szCs w:val="20"/>
          <w:color w:val="auto"/>
        </w:rPr>
      </w:pPr>
    </w:p>
    <w:p>
      <w:pPr>
        <w:ind w:left="5000"/>
        <w:spacing w:after="0"/>
        <w:tabs>
          <w:tab w:leader="none" w:pos="56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17780</wp:posOffset>
            </wp:positionV>
            <wp:extent cx="35280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28060" cy="8255"/>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Megan Faust</w:t>
      </w:r>
    </w:p>
    <w:p>
      <w:pPr>
        <w:spacing w:after="0" w:line="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Executive Vice President,</w:t>
      </w:r>
    </w:p>
    <w:p>
      <w:pPr>
        <w:spacing w:after="0" w:line="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1240"/>
          </w:cols>
          <w:pgMar w:left="320" w:top="119" w:right="339" w:bottom="1440" w:gutter="0" w:footer="0" w:header="0"/>
        </w:sectPr>
      </w:pPr>
    </w:p>
    <w:bookmarkStart w:id="60" w:name="page61"/>
    <w:bookmarkEnd w:id="60"/>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Kevin K. Engel, certify that:</w:t>
      </w:r>
    </w:p>
    <w:p>
      <w:pPr>
        <w:spacing w:after="0" w:line="89"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Amkor Technology, Inc.;</w:t>
      </w:r>
    </w:p>
    <w:p>
      <w:pPr>
        <w:spacing w:after="0" w:line="88"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3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2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7"/>
          <w:szCs w:val="17"/>
          <w:color w:val="auto"/>
        </w:rPr>
      </w:pPr>
    </w:p>
    <w:p>
      <w:pPr>
        <w:ind w:left="940" w:hanging="316"/>
        <w:spacing w:after="0" w:line="288" w:lineRule="auto"/>
        <w:tabs>
          <w:tab w:leader="none" w:pos="93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2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Times New Roman" w:cs="Times New Roman" w:eastAsia="Times New Roman" w:hAnsi="Times New Roman"/>
          <w:sz w:val="17"/>
          <w:szCs w:val="17"/>
          <w:color w:val="auto"/>
        </w:rPr>
      </w:pPr>
    </w:p>
    <w:p>
      <w:pPr>
        <w:ind w:left="940" w:hanging="316"/>
        <w:spacing w:after="0" w:line="288" w:lineRule="auto"/>
        <w:tabs>
          <w:tab w:leader="none" w:pos="93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Times New Roman" w:cs="Times New Roman" w:eastAsia="Times New Roman" w:hAnsi="Times New Roman"/>
          <w:sz w:val="17"/>
          <w:szCs w:val="17"/>
          <w:color w:val="auto"/>
        </w:rPr>
      </w:pPr>
    </w:p>
    <w:p>
      <w:pPr>
        <w:ind w:left="940" w:hanging="316"/>
        <w:spacing w:after="0" w:line="288" w:lineRule="auto"/>
        <w:tabs>
          <w:tab w:leader="none" w:pos="92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/s/ Kevin K.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26035</wp:posOffset>
            </wp:positionV>
            <wp:extent cx="35280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28060" cy="8255"/>
                    </a:xfrm>
                    <a:prstGeom prst="rect">
                      <a:avLst/>
                    </a:prstGeom>
                    <a:noFill/>
                  </pic:spPr>
                </pic:pic>
              </a:graphicData>
            </a:graphic>
          </wp:anchor>
        </w:drawing>
      </w:r>
    </w:p>
    <w:p>
      <w:pPr>
        <w:spacing w:after="0" w:line="5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Kevin K. Engel</w:t>
      </w:r>
    </w:p>
    <w:p>
      <w:pPr>
        <w:spacing w:after="0" w:line="5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27, 2026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Megan Faust, certify that:</w:t>
      </w:r>
    </w:p>
    <w:p>
      <w:pPr>
        <w:spacing w:after="0" w:line="89"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Amkor Technology, Inc.;</w:t>
      </w:r>
    </w:p>
    <w:p>
      <w:pPr>
        <w:spacing w:after="0" w:line="101"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32"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28"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7"/>
          <w:szCs w:val="17"/>
          <w:color w:val="auto"/>
        </w:rPr>
      </w:pPr>
    </w:p>
    <w:p>
      <w:pPr>
        <w:ind w:left="940" w:hanging="316"/>
        <w:spacing w:after="0" w:line="288" w:lineRule="auto"/>
        <w:tabs>
          <w:tab w:leader="none" w:pos="932"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28"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Times New Roman" w:cs="Times New Roman" w:eastAsia="Times New Roman" w:hAnsi="Times New Roman"/>
          <w:sz w:val="17"/>
          <w:szCs w:val="17"/>
          <w:color w:val="auto"/>
        </w:rPr>
      </w:pPr>
    </w:p>
    <w:p>
      <w:pPr>
        <w:ind w:left="940" w:hanging="316"/>
        <w:spacing w:after="0" w:line="288" w:lineRule="auto"/>
        <w:tabs>
          <w:tab w:leader="none" w:pos="932"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7"/>
          <w:szCs w:val="17"/>
          <w:color w:val="auto"/>
        </w:rPr>
      </w:pPr>
    </w:p>
    <w:p>
      <w:pPr>
        <w:ind w:left="940" w:hanging="316"/>
        <w:spacing w:after="0" w:line="288" w:lineRule="auto"/>
        <w:tabs>
          <w:tab w:leader="none" w:pos="928"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17780</wp:posOffset>
            </wp:positionV>
            <wp:extent cx="35280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28060" cy="8255"/>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Megan Faust</w:t>
      </w:r>
    </w:p>
    <w:p>
      <w:pPr>
        <w:spacing w:after="0" w:line="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Executive Vice President,</w:t>
      </w:r>
    </w:p>
    <w:p>
      <w:pPr>
        <w:spacing w:after="0" w:line="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27, 2026</w:t>
      </w:r>
    </w:p>
    <w:p>
      <w:pPr>
        <w:sectPr>
          <w:pgSz w:w="11900" w:h="16838" w:orient="portrait"/>
          <w:cols w:equalWidth="0" w:num="1">
            <w:col w:w="11240"/>
          </w:cols>
          <w:pgMar w:left="320" w:top="144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115" w:lineRule="exact"/>
        <w:rPr>
          <w:sz w:val="20"/>
          <w:szCs w:val="20"/>
          <w:color w:val="auto"/>
        </w:rPr>
      </w:pPr>
    </w:p>
    <w:p>
      <w:pPr>
        <w:jc w:val="center"/>
        <w:ind w:left="340" w:right="2120"/>
        <w:spacing w:after="0" w:line="273"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 PURSUANT TO 18 U.S.C. SECTION 1350, AS ADOPTED PURSUANT TO SECTION 906 OF THE SARBANES-OXLEY ACT OF 2002</w:t>
      </w:r>
    </w:p>
    <w:p>
      <w:pPr>
        <w:spacing w:after="0" w:line="177" w:lineRule="exact"/>
        <w:rPr>
          <w:sz w:val="20"/>
          <w:szCs w:val="20"/>
          <w:color w:val="auto"/>
        </w:rPr>
      </w:pPr>
    </w:p>
    <w:p>
      <w:pPr>
        <w:jc w:val="both"/>
        <w:ind w:firstLine="426"/>
        <w:spacing w:after="0" w:line="246" w:lineRule="auto"/>
        <w:rPr>
          <w:sz w:val="20"/>
          <w:szCs w:val="20"/>
          <w:color w:val="auto"/>
        </w:rPr>
      </w:pPr>
      <w:r>
        <w:rPr>
          <w:rFonts w:ascii="Times New Roman" w:cs="Times New Roman" w:eastAsia="Times New Roman" w:hAnsi="Times New Roman"/>
          <w:sz w:val="17"/>
          <w:szCs w:val="17"/>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September 30, 2026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39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color w:val="auto"/>
        </w:rPr>
        <w:t>/s/ Kevin K.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17780</wp:posOffset>
            </wp:positionV>
            <wp:extent cx="2887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3" w:lineRule="exact"/>
        <w:rPr>
          <w:sz w:val="20"/>
          <w:szCs w:val="20"/>
          <w:color w:val="auto"/>
        </w:rPr>
      </w:pPr>
    </w:p>
    <w:tbl>
      <w:tblPr>
        <w:tblLayout w:type="fixed"/>
        <w:tblInd w:w="6700" w:type="dxa"/>
        <w:tblCellMar>
          <w:top w:w="0" w:type="dxa"/>
          <w:left w:w="0" w:type="dxa"/>
          <w:bottom w:w="0" w:type="dxa"/>
          <w:right w:w="0" w:type="dxa"/>
        </w:tblCellMar>
      </w:tblPr>
      <w:tr>
        <w:trPr>
          <w:trHeight w:val="223"/>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Kevin K. Engel</w:t>
            </w:r>
          </w:p>
        </w:tc>
      </w:tr>
      <w:tr>
        <w:trPr>
          <w:trHeight w:val="258"/>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58"/>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October 27, 2026</w:t>
            </w:r>
          </w:p>
        </w:tc>
      </w:tr>
      <w:tr>
        <w:trPr>
          <w:trHeight w:val="536"/>
        </w:trPr>
        <w:tc>
          <w:tcPr>
            <w:tcW w:w="4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Megan Faust</w:t>
            </w:r>
          </w:p>
        </w:tc>
      </w:tr>
      <w:tr>
        <w:trPr>
          <w:trHeight w:val="323"/>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Megan Faust</w:t>
            </w:r>
          </w:p>
        </w:tc>
      </w:tr>
      <w:tr>
        <w:trPr>
          <w:trHeight w:val="258"/>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Executive Vice President,</w:t>
            </w:r>
          </w:p>
        </w:tc>
      </w:tr>
      <w:tr>
        <w:trPr>
          <w:trHeight w:val="258"/>
        </w:trPr>
        <w:tc>
          <w:tcPr>
            <w:tcW w:w="560" w:type="dxa"/>
            <w:vAlign w:val="bottom"/>
          </w:tcPr>
          <w:p>
            <w:pPr>
              <w:spacing w:after="0"/>
              <w:rPr>
                <w:sz w:val="22"/>
                <w:szCs w:val="22"/>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58"/>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October 27, 2026</w:t>
            </w:r>
          </w:p>
        </w:tc>
      </w:tr>
    </w:tbl>
    <w:p>
      <w:pPr>
        <w:spacing w:after="0" w:line="1" w:lineRule="exact"/>
        <w:rPr>
          <w:sz w:val="20"/>
          <w:szCs w:val="20"/>
          <w:color w:val="auto"/>
        </w:rPr>
      </w:pPr>
    </w:p>
    <w:sectPr>
      <w:pgSz w:w="11900" w:h="16838" w:orient="portrait"/>
      <w:cols w:equalWidth="0" w:num="1">
        <w:col w:w="11240"/>
      </w:cols>
      <w:pgMar w:left="320" w:top="12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6"/>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2"/>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2026-10-27T14:05:35Z</dcterms:created>
  <dcterms:modified xsi:type="dcterms:W3CDTF">2026-10-27T14:05:35Z</dcterms:modified>
</cp:coreProperties>
</file>